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E023" w14:textId="77777777" w:rsidR="00A01B13" w:rsidRDefault="00A01B13" w:rsidP="00A01B13">
      <w:pPr>
        <w:rPr>
          <w:rStyle w:val="DRISezioni"/>
        </w:rPr>
      </w:pPr>
    </w:p>
    <w:p w14:paraId="65305988" w14:textId="77777777" w:rsidR="00A01B13" w:rsidRPr="00BD3318" w:rsidRDefault="00A01B13" w:rsidP="00A01B13">
      <w:pPr>
        <w:rPr>
          <w:rStyle w:val="DRISezioni"/>
        </w:rPr>
      </w:pPr>
    </w:p>
    <w:p w14:paraId="0AE7A6CD" w14:textId="77777777" w:rsidR="00A01B13" w:rsidRPr="00BD3318" w:rsidRDefault="00A01B13" w:rsidP="00A01B13">
      <w:pPr>
        <w:rPr>
          <w:rStyle w:val="DRISezioni"/>
        </w:rPr>
      </w:pPr>
    </w:p>
    <w:p w14:paraId="73F6CBA1" w14:textId="77777777" w:rsidR="00A01B13" w:rsidRPr="00BD3318" w:rsidRDefault="00A01B13" w:rsidP="00A01B13">
      <w:pPr>
        <w:rPr>
          <w:rStyle w:val="DRISezioni"/>
        </w:rPr>
      </w:pPr>
    </w:p>
    <w:p w14:paraId="5DEED26D" w14:textId="77777777" w:rsidR="00A01B13" w:rsidRPr="00BD3318" w:rsidRDefault="00A01B13" w:rsidP="00A01B13">
      <w:pPr>
        <w:rPr>
          <w:rStyle w:val="DRISezioni"/>
        </w:rPr>
      </w:pPr>
    </w:p>
    <w:p w14:paraId="2E0B9204" w14:textId="77777777" w:rsidR="00A01B13" w:rsidRPr="00BD3318" w:rsidRDefault="00A01B13" w:rsidP="00A01B13">
      <w:pPr>
        <w:rPr>
          <w:rStyle w:val="DRISezioni"/>
        </w:rPr>
      </w:pPr>
    </w:p>
    <w:p w14:paraId="0CED64F2" w14:textId="77777777" w:rsidR="00A01B13" w:rsidRPr="00BD3318" w:rsidRDefault="00A01B13" w:rsidP="00A01B13">
      <w:pPr>
        <w:rPr>
          <w:rStyle w:val="DRISezioni"/>
        </w:rPr>
      </w:pPr>
    </w:p>
    <w:p w14:paraId="0A4641F4" w14:textId="77777777" w:rsidR="00A01B13" w:rsidRDefault="00A01B13" w:rsidP="00A01B13">
      <w:pPr>
        <w:keepNext/>
        <w:rPr>
          <w:rStyle w:val="DRISezioni"/>
        </w:rPr>
      </w:pPr>
      <w:r w:rsidRPr="00C44CA0">
        <w:rPr>
          <w:rStyle w:val="DRISezioni"/>
        </w:rPr>
        <w:t>Editoriale</w:t>
      </w:r>
    </w:p>
    <w:p w14:paraId="445CDD4C" w14:textId="77777777" w:rsidR="00A01B13" w:rsidRPr="00BD3318" w:rsidRDefault="00A01B13" w:rsidP="00A01B13">
      <w:pPr>
        <w:keepNext/>
        <w:rPr>
          <w:rStyle w:val="DRISezioni"/>
        </w:rPr>
      </w:pPr>
    </w:p>
    <w:tbl>
      <w:tblPr>
        <w:tblW w:w="5006" w:type="pct"/>
        <w:tblInd w:w="-4" w:type="dxa"/>
        <w:tblLayout w:type="fixed"/>
        <w:tblLook w:val="00A0" w:firstRow="1" w:lastRow="0" w:firstColumn="1" w:lastColumn="0" w:noHBand="0" w:noVBand="0"/>
      </w:tblPr>
      <w:tblGrid>
        <w:gridCol w:w="6383"/>
        <w:gridCol w:w="541"/>
      </w:tblGrid>
      <w:tr w:rsidR="00A01B13" w:rsidRPr="00BD3318" w14:paraId="076316D9" w14:textId="77777777" w:rsidTr="00930928">
        <w:trPr>
          <w:cantSplit/>
          <w:trHeight w:val="20"/>
        </w:trPr>
        <w:tc>
          <w:tcPr>
            <w:tcW w:w="4609" w:type="pct"/>
            <w:tcMar>
              <w:left w:w="0" w:type="dxa"/>
              <w:right w:w="85" w:type="dxa"/>
            </w:tcMar>
            <w:vAlign w:val="center"/>
          </w:tcPr>
          <w:p w14:paraId="39A2742B" w14:textId="77777777" w:rsidR="00A01B13" w:rsidRPr="00C44CA0" w:rsidRDefault="00A01B13" w:rsidP="00930928">
            <w:pPr>
              <w:tabs>
                <w:tab w:val="right" w:leader="dot" w:pos="6294"/>
              </w:tabs>
              <w:spacing w:before="40" w:after="60"/>
              <w:rPr>
                <w:rFonts w:cs="Times"/>
                <w:smallCaps/>
                <w:szCs w:val="21"/>
              </w:rPr>
            </w:pPr>
            <w:r w:rsidRPr="00C44CA0">
              <w:rPr>
                <w:rFonts w:cs="Times"/>
                <w:smallCaps/>
                <w:szCs w:val="21"/>
              </w:rPr>
              <w:t>Giuseppe Bertagna, Michele Tiraboschi</w:t>
            </w:r>
            <w:r>
              <w:rPr>
                <w:rFonts w:cs="Times"/>
                <w:smallCaps/>
                <w:szCs w:val="21"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284F5B02" w14:textId="77777777" w:rsidR="00A01B13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1</w:t>
            </w:r>
          </w:p>
        </w:tc>
      </w:tr>
    </w:tbl>
    <w:p w14:paraId="7F70425E" w14:textId="77777777" w:rsidR="00A01B13" w:rsidRDefault="00A01B13" w:rsidP="00A01B13">
      <w:pPr>
        <w:rPr>
          <w:rStyle w:val="DRISezioni"/>
        </w:rPr>
      </w:pPr>
    </w:p>
    <w:p w14:paraId="10AF118E" w14:textId="77777777" w:rsidR="00A01B13" w:rsidRDefault="00A01B13" w:rsidP="00A01B13">
      <w:pPr>
        <w:rPr>
          <w:rStyle w:val="DRISezioni"/>
        </w:rPr>
      </w:pPr>
    </w:p>
    <w:p w14:paraId="27411C60" w14:textId="77777777" w:rsidR="00A01B13" w:rsidRDefault="00A01B13" w:rsidP="00A01B13">
      <w:pPr>
        <w:keepNext/>
        <w:rPr>
          <w:rStyle w:val="DRISezioni"/>
          <w:i/>
        </w:rPr>
      </w:pPr>
      <w:r w:rsidRPr="00BD3318">
        <w:rPr>
          <w:rStyle w:val="DRISezioni"/>
        </w:rPr>
        <w:t xml:space="preserve">Ricerche: </w:t>
      </w:r>
      <w:r w:rsidRPr="00BD3318">
        <w:rPr>
          <w:rStyle w:val="DRISezioni"/>
          <w:i/>
        </w:rPr>
        <w:t>La professionalità docente tra nuovi paradigmi e consolidate funzioni</w:t>
      </w:r>
    </w:p>
    <w:p w14:paraId="07EA53AA" w14:textId="77777777" w:rsidR="00A01B13" w:rsidRPr="00BD3318" w:rsidRDefault="00A01B13" w:rsidP="00A01B13">
      <w:pPr>
        <w:keepNext/>
        <w:rPr>
          <w:rStyle w:val="DRISezioni"/>
        </w:rPr>
      </w:pPr>
    </w:p>
    <w:tbl>
      <w:tblPr>
        <w:tblW w:w="5006" w:type="pct"/>
        <w:tblInd w:w="-4" w:type="dxa"/>
        <w:tblLayout w:type="fixed"/>
        <w:tblLook w:val="00A0" w:firstRow="1" w:lastRow="0" w:firstColumn="1" w:lastColumn="0" w:noHBand="0" w:noVBand="0"/>
      </w:tblPr>
      <w:tblGrid>
        <w:gridCol w:w="6383"/>
        <w:gridCol w:w="541"/>
      </w:tblGrid>
      <w:tr w:rsidR="00A01B13" w:rsidRPr="00BD3318" w14:paraId="63A13632" w14:textId="77777777" w:rsidTr="00930928">
        <w:trPr>
          <w:cantSplit/>
          <w:trHeight w:val="20"/>
        </w:trPr>
        <w:tc>
          <w:tcPr>
            <w:tcW w:w="4609" w:type="pct"/>
            <w:tcMar>
              <w:left w:w="0" w:type="dxa"/>
              <w:right w:w="85" w:type="dxa"/>
            </w:tcMar>
            <w:vAlign w:val="center"/>
          </w:tcPr>
          <w:p w14:paraId="43984A7E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rFonts w:cs="Times"/>
                <w:bCs/>
                <w:i/>
                <w:szCs w:val="21"/>
              </w:rPr>
            </w:pPr>
            <w:r w:rsidRPr="00BD3318">
              <w:rPr>
                <w:rFonts w:cs="Times"/>
                <w:smallCaps/>
                <w:szCs w:val="21"/>
              </w:rPr>
              <w:t xml:space="preserve">Antonia </w:t>
            </w:r>
            <w:proofErr w:type="spellStart"/>
            <w:r w:rsidRPr="00BD3318">
              <w:rPr>
                <w:rFonts w:cs="Times"/>
                <w:smallCaps/>
                <w:szCs w:val="21"/>
              </w:rPr>
              <w:t>Cunti</w:t>
            </w:r>
            <w:proofErr w:type="spellEnd"/>
            <w:r w:rsidRPr="00BD3318">
              <w:rPr>
                <w:rFonts w:cs="Times"/>
                <w:smallCaps/>
                <w:szCs w:val="21"/>
              </w:rPr>
              <w:t xml:space="preserve">, Alessandra Priore, </w:t>
            </w:r>
            <w:r w:rsidRPr="00BD3318">
              <w:rPr>
                <w:rFonts w:cs="Times"/>
                <w:bCs/>
                <w:i/>
                <w:szCs w:val="21"/>
              </w:rPr>
              <w:t>Insegnamento e relazione educativa. Luci e ombre ai tempi del Covid-19</w:t>
            </w:r>
            <w:r w:rsidRPr="00BD3318">
              <w:rPr>
                <w:rFonts w:cs="Times"/>
                <w:i/>
                <w:szCs w:val="21"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446EA448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4</w:t>
            </w:r>
          </w:p>
        </w:tc>
      </w:tr>
      <w:tr w:rsidR="00A01B13" w:rsidRPr="00BD3318" w14:paraId="081806B8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3AA9066A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rFonts w:cs="Times"/>
                <w:b/>
                <w:bCs/>
                <w:i/>
                <w:szCs w:val="21"/>
              </w:rPr>
            </w:pPr>
            <w:bookmarkStart w:id="0" w:name="_Hlk80693315"/>
            <w:r w:rsidRPr="00BD3318">
              <w:rPr>
                <w:rFonts w:cs="Times"/>
                <w:smallCaps/>
                <w:szCs w:val="21"/>
              </w:rPr>
              <w:t xml:space="preserve">Cristina Vedovelli, </w:t>
            </w:r>
            <w:r w:rsidRPr="00BD3318">
              <w:rPr>
                <w:rFonts w:cs="Times"/>
                <w:i/>
                <w:iCs/>
                <w:szCs w:val="21"/>
              </w:rPr>
              <w:t>Il ruolo delle competenze relazionali degli insegnanti nel processo formativo degli studenti:</w:t>
            </w:r>
            <w:r>
              <w:rPr>
                <w:rFonts w:cs="Times"/>
                <w:i/>
                <w:iCs/>
                <w:szCs w:val="21"/>
              </w:rPr>
              <w:t xml:space="preserve"> </w:t>
            </w:r>
            <w:r w:rsidRPr="00BD3318">
              <w:rPr>
                <w:rFonts w:cs="Times"/>
                <w:i/>
                <w:iCs/>
                <w:szCs w:val="21"/>
              </w:rPr>
              <w:t>strategie e strumenti per la didattica</w:t>
            </w:r>
            <w:bookmarkEnd w:id="0"/>
            <w:r w:rsidRPr="00BD3318">
              <w:rPr>
                <w:i/>
                <w:iCs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0167D9B8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24</w:t>
            </w:r>
          </w:p>
        </w:tc>
      </w:tr>
      <w:tr w:rsidR="00A01B13" w:rsidRPr="00BD3318" w14:paraId="2752E897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1CC66E07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rFonts w:cs="Times"/>
                <w:smallCaps/>
                <w:szCs w:val="21"/>
              </w:rPr>
            </w:pPr>
            <w:r w:rsidRPr="00BD3318">
              <w:rPr>
                <w:rFonts w:cs="Times"/>
                <w:smallCaps/>
                <w:szCs w:val="21"/>
              </w:rPr>
              <w:t xml:space="preserve">Francesco Lo Presti, </w:t>
            </w:r>
            <w:r w:rsidRPr="00BD3318">
              <w:rPr>
                <w:rFonts w:cs="Times"/>
                <w:i/>
                <w:iCs/>
                <w:szCs w:val="21"/>
              </w:rPr>
              <w:t>Formarsi all’insegnamento. La gestione critico-riflessiva della relazione educativa</w:t>
            </w:r>
            <w:r w:rsidRPr="00BD3318">
              <w:rPr>
                <w:rFonts w:cs="Times"/>
                <w:i/>
                <w:iCs/>
                <w:szCs w:val="21"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0377D5D4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43</w:t>
            </w:r>
          </w:p>
        </w:tc>
      </w:tr>
      <w:tr w:rsidR="00A01B13" w:rsidRPr="00BD3318" w14:paraId="58210BEB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32B1BE63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rFonts w:cs="Times"/>
                <w:smallCaps/>
                <w:szCs w:val="21"/>
              </w:rPr>
            </w:pPr>
            <w:r w:rsidRPr="00BD3318">
              <w:rPr>
                <w:rFonts w:cs="Times"/>
                <w:smallCaps/>
                <w:szCs w:val="21"/>
              </w:rPr>
              <w:t>Concetta Tino, Monica Fedeli,</w:t>
            </w:r>
            <w:r>
              <w:rPr>
                <w:rFonts w:cs="Times"/>
                <w:smallCaps/>
                <w:szCs w:val="21"/>
              </w:rPr>
              <w:t xml:space="preserve"> </w:t>
            </w:r>
            <w:r w:rsidRPr="00BD3318">
              <w:rPr>
                <w:rFonts w:cs="Times"/>
                <w:i/>
                <w:szCs w:val="21"/>
              </w:rPr>
              <w:t>“Relazione tra pianificazione e controllo della carriera, proattività, self-</w:t>
            </w:r>
            <w:proofErr w:type="spellStart"/>
            <w:r w:rsidRPr="00BD3318">
              <w:rPr>
                <w:rFonts w:cs="Times"/>
                <w:i/>
                <w:szCs w:val="21"/>
              </w:rPr>
              <w:t>perceived</w:t>
            </w:r>
            <w:proofErr w:type="spellEnd"/>
            <w:r w:rsidRPr="00BD3318">
              <w:rPr>
                <w:rFonts w:cs="Times"/>
                <w:i/>
                <w:szCs w:val="21"/>
              </w:rPr>
              <w:t xml:space="preserve"> </w:t>
            </w:r>
            <w:proofErr w:type="spellStart"/>
            <w:r w:rsidRPr="00BD3318">
              <w:rPr>
                <w:rFonts w:cs="Times"/>
                <w:i/>
                <w:szCs w:val="21"/>
              </w:rPr>
              <w:t>employability</w:t>
            </w:r>
            <w:proofErr w:type="spellEnd"/>
            <w:r w:rsidRPr="00BD3318">
              <w:rPr>
                <w:rFonts w:cs="Times"/>
                <w:i/>
                <w:szCs w:val="21"/>
              </w:rPr>
              <w:t xml:space="preserve"> e percezioni-mercato del lavoro di studenti/esse”: traduzione e affidabilità di una scala di misurazione</w:t>
            </w:r>
            <w:r w:rsidRPr="00BD3318">
              <w:rPr>
                <w:rFonts w:cs="Times"/>
                <w:i/>
                <w:szCs w:val="21"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67E1AFC5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63</w:t>
            </w:r>
          </w:p>
        </w:tc>
      </w:tr>
      <w:tr w:rsidR="00A01B13" w:rsidRPr="0067736B" w14:paraId="63C8AFBA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06D31562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rFonts w:cs="Times"/>
                <w:smallCaps/>
                <w:szCs w:val="21"/>
                <w:lang w:val="es-ES"/>
              </w:rPr>
            </w:pPr>
            <w:r w:rsidRPr="00BD3318">
              <w:rPr>
                <w:rFonts w:cs="Times"/>
                <w:smallCaps/>
                <w:szCs w:val="21"/>
                <w:lang w:val="es-ES"/>
              </w:rPr>
              <w:t xml:space="preserve">David Martínez-Maireles, Mila Naranjo Llanos, Davide Capperucci, </w:t>
            </w:r>
            <w:r w:rsidRPr="00BD3318">
              <w:rPr>
                <w:rFonts w:cs="Times"/>
                <w:i/>
                <w:iCs/>
                <w:szCs w:val="21"/>
                <w:lang w:val="es-ES"/>
              </w:rPr>
              <w:t>Analizar, reflexionar y actuar sobre las prácticas evaluativas en el entorno escolar: una investigación empírica realizada con los docentes de Toscana</w:t>
            </w:r>
            <w:r w:rsidRPr="00BD3318">
              <w:rPr>
                <w:rFonts w:cs="Times"/>
                <w:i/>
                <w:iCs/>
                <w:szCs w:val="21"/>
                <w:lang w:val="es-ES"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6AE8105D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  <w:lang w:val="es-ES"/>
              </w:rPr>
            </w:pPr>
            <w:r>
              <w:rPr>
                <w:rFonts w:cs="Times"/>
                <w:szCs w:val="21"/>
                <w:lang w:val="es-ES"/>
              </w:rPr>
              <w:t>87</w:t>
            </w:r>
          </w:p>
        </w:tc>
      </w:tr>
      <w:tr w:rsidR="00A01B13" w:rsidRPr="00BD3318" w14:paraId="497A7B53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250A5ACC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</w:pPr>
            <w:r w:rsidRPr="00BD3318">
              <w:rPr>
                <w:rFonts w:cs="Times"/>
                <w:smallCaps/>
                <w:szCs w:val="21"/>
              </w:rPr>
              <w:t xml:space="preserve">Maria Ricciardi, </w:t>
            </w:r>
            <w:r w:rsidRPr="00BD3318">
              <w:rPr>
                <w:i/>
                <w:iCs/>
              </w:rPr>
              <w:t>Ambienti di insegnamento-apprendimento generativo, potenziati dalle tecnologie digitali, per lo sviluppo di competenze orientative e la formazione dei talenti</w:t>
            </w:r>
            <w:r w:rsidRPr="00BD3318">
              <w:rPr>
                <w:i/>
                <w:iCs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194A10FD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106</w:t>
            </w:r>
          </w:p>
        </w:tc>
      </w:tr>
      <w:tr w:rsidR="00A01B13" w:rsidRPr="00BD3318" w14:paraId="1D11FC53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7AD9E894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rFonts w:cs="Times"/>
                <w:bCs/>
                <w:i/>
                <w:szCs w:val="21"/>
              </w:rPr>
            </w:pPr>
            <w:r w:rsidRPr="00BD3318">
              <w:rPr>
                <w:rFonts w:cs="Times"/>
                <w:smallCaps/>
                <w:szCs w:val="21"/>
              </w:rPr>
              <w:t xml:space="preserve">Diletta </w:t>
            </w:r>
            <w:proofErr w:type="spellStart"/>
            <w:r w:rsidRPr="00BD3318">
              <w:rPr>
                <w:rFonts w:cs="Times"/>
                <w:smallCaps/>
                <w:szCs w:val="21"/>
              </w:rPr>
              <w:t>Chiusaroli</w:t>
            </w:r>
            <w:proofErr w:type="spellEnd"/>
            <w:r w:rsidRPr="00BD3318">
              <w:rPr>
                <w:rFonts w:cs="Times"/>
                <w:smallCaps/>
                <w:szCs w:val="21"/>
              </w:rPr>
              <w:t xml:space="preserve">, Vincenza Barra, Pio Alfredo Di Tore, </w:t>
            </w:r>
            <w:r w:rsidRPr="00BD3318">
              <w:rPr>
                <w:rFonts w:cs="Times"/>
                <w:i/>
                <w:iCs/>
                <w:smallCaps/>
                <w:szCs w:val="21"/>
              </w:rPr>
              <w:t>D</w:t>
            </w:r>
            <w:r w:rsidRPr="00BD3318">
              <w:rPr>
                <w:i/>
                <w:iCs/>
              </w:rPr>
              <w:t xml:space="preserve">ocenti di sostegno, inclusione e media </w:t>
            </w:r>
            <w:proofErr w:type="spellStart"/>
            <w:r w:rsidRPr="00BD3318">
              <w:rPr>
                <w:i/>
                <w:iCs/>
              </w:rPr>
              <w:t>education</w:t>
            </w:r>
            <w:proofErr w:type="spellEnd"/>
            <w:r w:rsidRPr="00BD3318">
              <w:rPr>
                <w:i/>
                <w:iCs/>
              </w:rPr>
              <w:t xml:space="preserve"> nella scuola post-Covid</w:t>
            </w:r>
            <w:r w:rsidRPr="00BD3318">
              <w:rPr>
                <w:i/>
                <w:iCs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14BC7645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130</w:t>
            </w:r>
          </w:p>
        </w:tc>
      </w:tr>
      <w:tr w:rsidR="00A01B13" w:rsidRPr="00BD3318" w14:paraId="7A7713D8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5609CC06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rFonts w:cs="Times"/>
                <w:smallCaps/>
                <w:szCs w:val="21"/>
              </w:rPr>
            </w:pPr>
            <w:r w:rsidRPr="00BD3318">
              <w:rPr>
                <w:rFonts w:cs="Times"/>
                <w:smallCaps/>
                <w:szCs w:val="21"/>
              </w:rPr>
              <w:lastRenderedPageBreak/>
              <w:t xml:space="preserve">Donatella Fantozzi, </w:t>
            </w:r>
            <w:r w:rsidRPr="00BD3318">
              <w:rPr>
                <w:rFonts w:cs="Times"/>
                <w:bCs/>
                <w:i/>
                <w:szCs w:val="21"/>
              </w:rPr>
              <w:t>Inclusione: l’accomodamento ragionevole come professionalità diffusa</w:t>
            </w:r>
            <w:r w:rsidRPr="00BD3318">
              <w:rPr>
                <w:rFonts w:cs="Times"/>
                <w:i/>
                <w:iCs/>
                <w:smallCaps/>
                <w:szCs w:val="21"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50E4F425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138</w:t>
            </w:r>
          </w:p>
        </w:tc>
      </w:tr>
      <w:tr w:rsidR="00A01B13" w:rsidRPr="00BD3318" w14:paraId="1123B678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45412E98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rFonts w:cs="Times"/>
                <w:i/>
                <w:szCs w:val="21"/>
              </w:rPr>
            </w:pPr>
            <w:r w:rsidRPr="00BD3318">
              <w:rPr>
                <w:rFonts w:cs="Times"/>
                <w:smallCaps/>
                <w:szCs w:val="21"/>
              </w:rPr>
              <w:t xml:space="preserve">Matteo Schianchi, </w:t>
            </w:r>
            <w:r w:rsidRPr="00BD3318">
              <w:rPr>
                <w:rFonts w:cs="Times"/>
                <w:i/>
                <w:szCs w:val="21"/>
              </w:rPr>
              <w:t>Il disagio di fronte alla disabilità. Un deflagrante implicito su cui centrare ricerca e formazione degli insegnanti</w:t>
            </w:r>
            <w:r w:rsidRPr="00BD3318">
              <w:rPr>
                <w:rFonts w:cs="Times"/>
                <w:smallCaps/>
                <w:szCs w:val="21"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70A55110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148</w:t>
            </w:r>
          </w:p>
        </w:tc>
      </w:tr>
      <w:tr w:rsidR="00A01B13" w:rsidRPr="00BD3318" w14:paraId="3900F135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221BE38D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i/>
                <w:iCs/>
              </w:rPr>
            </w:pPr>
            <w:r w:rsidRPr="00BD3318">
              <w:rPr>
                <w:rFonts w:cs="Times"/>
                <w:smallCaps/>
                <w:szCs w:val="21"/>
              </w:rPr>
              <w:t xml:space="preserve">Matteo Maienza, </w:t>
            </w:r>
            <w:r w:rsidRPr="00BD3318">
              <w:rPr>
                <w:i/>
                <w:iCs/>
              </w:rPr>
              <w:t>Le competenze dei docenti inclusivi. Rassegna della letteratura</w:t>
            </w:r>
            <w:r w:rsidRPr="00BD3318">
              <w:rPr>
                <w:i/>
                <w:iCs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22F5566A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168</w:t>
            </w:r>
          </w:p>
        </w:tc>
      </w:tr>
      <w:tr w:rsidR="00A01B13" w:rsidRPr="00BD3318" w14:paraId="27C46EAD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743249C7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i/>
                <w:iCs/>
              </w:rPr>
            </w:pPr>
            <w:r w:rsidRPr="00BD3318">
              <w:rPr>
                <w:rFonts w:cs="Times"/>
                <w:smallCaps/>
                <w:szCs w:val="21"/>
              </w:rPr>
              <w:t xml:space="preserve">Antonio Di Maglie, </w:t>
            </w:r>
            <w:r w:rsidRPr="00BD3318">
              <w:rPr>
                <w:i/>
                <w:iCs/>
              </w:rPr>
              <w:t>L’educazione</w:t>
            </w:r>
            <w:r w:rsidRPr="00BD3318">
              <w:rPr>
                <w:rFonts w:eastAsiaTheme="minorHAnsi"/>
                <w:i/>
                <w:iCs/>
                <w:szCs w:val="24"/>
                <w:lang w:eastAsia="en-US"/>
              </w:rPr>
              <w:t xml:space="preserve"> motoria e sportiva ai tempi del Covid-19</w:t>
            </w:r>
            <w:r w:rsidRPr="00BD3318">
              <w:rPr>
                <w:rFonts w:eastAsiaTheme="minorHAnsi"/>
                <w:szCs w:val="24"/>
                <w:lang w:eastAsia="en-US"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48455B17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180</w:t>
            </w:r>
          </w:p>
        </w:tc>
      </w:tr>
      <w:tr w:rsidR="00A01B13" w:rsidRPr="00BD3318" w14:paraId="5FF9884B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35D6BD36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rFonts w:cs="Times"/>
                <w:smallCaps/>
                <w:szCs w:val="21"/>
              </w:rPr>
            </w:pPr>
            <w:r w:rsidRPr="00BD3318">
              <w:rPr>
                <w:rFonts w:cs="Times"/>
                <w:smallCaps/>
                <w:szCs w:val="21"/>
              </w:rPr>
              <w:t xml:space="preserve">Francesca Di Michele, </w:t>
            </w:r>
            <w:r w:rsidRPr="00BD3318">
              <w:rPr>
                <w:i/>
                <w:iCs/>
              </w:rPr>
              <w:t>La Pedagogia della Natura per una rinnovata consapevolezza educativa</w:t>
            </w:r>
            <w:r w:rsidRPr="00BD3318">
              <w:rPr>
                <w:i/>
                <w:iCs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0A259CB5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</w:rPr>
            </w:pPr>
            <w:r>
              <w:rPr>
                <w:rFonts w:cs="Times"/>
                <w:szCs w:val="21"/>
              </w:rPr>
              <w:t>193</w:t>
            </w:r>
          </w:p>
        </w:tc>
      </w:tr>
    </w:tbl>
    <w:p w14:paraId="757501FB" w14:textId="2FE971A9" w:rsidR="00A01B13" w:rsidRPr="00A01B13" w:rsidRDefault="00A01B13" w:rsidP="00A01B13">
      <w:pPr>
        <w:rPr>
          <w:rStyle w:val="DRISezioni"/>
          <w:b w:val="0"/>
          <w:bCs w:val="0"/>
        </w:rPr>
      </w:pPr>
    </w:p>
    <w:p w14:paraId="29BA3451" w14:textId="77777777" w:rsidR="00A01B13" w:rsidRPr="00A01B13" w:rsidRDefault="00A01B13" w:rsidP="00A01B13">
      <w:pPr>
        <w:rPr>
          <w:rStyle w:val="DRISezioni"/>
          <w:b w:val="0"/>
          <w:bCs w:val="0"/>
        </w:rPr>
      </w:pPr>
    </w:p>
    <w:p w14:paraId="0AA9D1FC" w14:textId="77777777" w:rsidR="00A01B13" w:rsidRPr="00A01B13" w:rsidRDefault="00A01B13" w:rsidP="00A01B13">
      <w:pPr>
        <w:keepNext/>
        <w:rPr>
          <w:rStyle w:val="DRISezioni"/>
          <w:bCs w:val="0"/>
        </w:rPr>
      </w:pPr>
      <w:r w:rsidRPr="00A01B13">
        <w:rPr>
          <w:rStyle w:val="DRISezioni"/>
          <w:bCs w:val="0"/>
        </w:rPr>
        <w:t>Allegati</w:t>
      </w:r>
    </w:p>
    <w:p w14:paraId="24D9FFEF" w14:textId="74D991C4" w:rsidR="00A01B13" w:rsidRPr="00A01B13" w:rsidRDefault="00A01B13" w:rsidP="00A01B13">
      <w:pPr>
        <w:keepNext/>
        <w:rPr>
          <w:rStyle w:val="DRISezioni"/>
          <w:bCs w:val="0"/>
        </w:rPr>
      </w:pPr>
    </w:p>
    <w:tbl>
      <w:tblPr>
        <w:tblW w:w="5006" w:type="pct"/>
        <w:tblInd w:w="-4" w:type="dxa"/>
        <w:tblLayout w:type="fixed"/>
        <w:tblLook w:val="00A0" w:firstRow="1" w:lastRow="0" w:firstColumn="1" w:lastColumn="0" w:noHBand="0" w:noVBand="0"/>
      </w:tblPr>
      <w:tblGrid>
        <w:gridCol w:w="6383"/>
        <w:gridCol w:w="541"/>
      </w:tblGrid>
      <w:tr w:rsidR="00A01B13" w:rsidRPr="0067736B" w14:paraId="2C93F6BD" w14:textId="77777777" w:rsidTr="00930928">
        <w:trPr>
          <w:cantSplit/>
        </w:trPr>
        <w:tc>
          <w:tcPr>
            <w:tcW w:w="4609" w:type="pct"/>
            <w:tcMar>
              <w:left w:w="0" w:type="dxa"/>
              <w:right w:w="85" w:type="dxa"/>
            </w:tcMar>
          </w:tcPr>
          <w:p w14:paraId="7ACB5E48" w14:textId="77777777" w:rsidR="00A01B13" w:rsidRPr="00BD3318" w:rsidRDefault="00A01B13" w:rsidP="00930928">
            <w:pPr>
              <w:tabs>
                <w:tab w:val="right" w:leader="dot" w:pos="6294"/>
              </w:tabs>
              <w:spacing w:before="40" w:after="60"/>
              <w:rPr>
                <w:rFonts w:cs="Times"/>
                <w:smallCaps/>
                <w:szCs w:val="21"/>
                <w:lang w:val="es-ES"/>
              </w:rPr>
            </w:pPr>
            <w:bookmarkStart w:id="1" w:name="_Hlk93911810"/>
            <w:r w:rsidRPr="00BD3318">
              <w:rPr>
                <w:bCs/>
                <w:i/>
                <w:iCs/>
                <w:lang w:val="es-ES"/>
              </w:rPr>
              <w:t xml:space="preserve">Analizar, reflexionar y actuar sobre las </w:t>
            </w:r>
            <w:bookmarkStart w:id="2" w:name="_Hlk93911851"/>
            <w:r w:rsidRPr="00BD3318">
              <w:rPr>
                <w:bCs/>
                <w:i/>
                <w:iCs/>
                <w:lang w:val="es-ES"/>
              </w:rPr>
              <w:t>prácticas evaluativas en el entorno escolar:</w:t>
            </w:r>
            <w:bookmarkEnd w:id="2"/>
            <w:r w:rsidRPr="00BD3318">
              <w:rPr>
                <w:bCs/>
                <w:i/>
                <w:iCs/>
                <w:lang w:val="es-ES"/>
              </w:rPr>
              <w:t xml:space="preserve"> una investigación empírica realizada con los docentes de Toscana - Tablas</w:t>
            </w:r>
            <w:bookmarkEnd w:id="1"/>
            <w:r w:rsidRPr="00BD3318">
              <w:rPr>
                <w:bCs/>
                <w:i/>
                <w:iCs/>
                <w:lang w:val="es-ES"/>
              </w:rPr>
              <w:tab/>
            </w:r>
          </w:p>
        </w:tc>
        <w:tc>
          <w:tcPr>
            <w:tcW w:w="391" w:type="pct"/>
            <w:tcMar>
              <w:left w:w="0" w:type="dxa"/>
              <w:right w:w="0" w:type="dxa"/>
            </w:tcMar>
            <w:vAlign w:val="bottom"/>
          </w:tcPr>
          <w:p w14:paraId="66ECFC32" w14:textId="77777777" w:rsidR="00A01B13" w:rsidRPr="00BD3318" w:rsidRDefault="00A01B13" w:rsidP="00930928">
            <w:pPr>
              <w:spacing w:before="40" w:after="60"/>
              <w:ind w:left="539" w:hanging="539"/>
              <w:jc w:val="right"/>
              <w:rPr>
                <w:rFonts w:cs="Times"/>
                <w:szCs w:val="21"/>
                <w:lang w:val="es-ES"/>
              </w:rPr>
            </w:pPr>
            <w:r>
              <w:rPr>
                <w:rFonts w:cs="Times"/>
                <w:szCs w:val="21"/>
                <w:lang w:val="es-ES"/>
              </w:rPr>
              <w:t>205</w:t>
            </w:r>
          </w:p>
        </w:tc>
      </w:tr>
    </w:tbl>
    <w:p w14:paraId="2C4D4E8B" w14:textId="6A173FF5" w:rsidR="00A01B13" w:rsidRDefault="00A01B13" w:rsidP="00A01B13">
      <w:pPr>
        <w:rPr>
          <w:rStyle w:val="DRISezioni"/>
          <w:b w:val="0"/>
          <w:bCs w:val="0"/>
        </w:rPr>
      </w:pPr>
    </w:p>
    <w:sectPr w:rsidR="00A01B13" w:rsidSect="0003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05" w:right="2722" w:bottom="3062" w:left="2268" w:header="2438" w:footer="2268" w:gutter="0"/>
      <w:pgNumType w:fmt="upperRoman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8F70" w14:textId="77777777" w:rsidR="000756DA" w:rsidRDefault="000756DA" w:rsidP="00CD4CCF">
      <w:r>
        <w:separator/>
      </w:r>
    </w:p>
    <w:p w14:paraId="595082B8" w14:textId="77777777" w:rsidR="000756DA" w:rsidRDefault="000756DA" w:rsidP="00CD4CCF"/>
    <w:p w14:paraId="00B3AE2E" w14:textId="77777777" w:rsidR="000756DA" w:rsidRDefault="000756DA" w:rsidP="00CD4CCF"/>
  </w:endnote>
  <w:endnote w:type="continuationSeparator" w:id="0">
    <w:p w14:paraId="6003FC58" w14:textId="77777777" w:rsidR="000756DA" w:rsidRDefault="000756DA" w:rsidP="00CD4CCF">
      <w:r>
        <w:continuationSeparator/>
      </w:r>
    </w:p>
    <w:p w14:paraId="13F494CD" w14:textId="77777777" w:rsidR="000756DA" w:rsidRDefault="000756DA" w:rsidP="00CD4CCF"/>
    <w:p w14:paraId="28FD2995" w14:textId="77777777" w:rsidR="000756DA" w:rsidRDefault="000756DA" w:rsidP="00CD4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F4A1" w14:textId="77777777" w:rsidR="00A01B13" w:rsidRPr="00CD4CCF" w:rsidRDefault="00A01B13" w:rsidP="00A01B13">
    <w:pPr>
      <w:pStyle w:val="Pidipagina"/>
    </w:pPr>
    <w:r w:rsidRPr="00CD4CCF">
      <w:t xml:space="preserve">Professionalità </w:t>
    </w:r>
    <w:r>
      <w:t>s</w:t>
    </w:r>
    <w:r w:rsidRPr="00CD4CCF">
      <w:t>tudi</w:t>
    </w:r>
  </w:p>
  <w:p w14:paraId="49AFA8F8" w14:textId="36EF4419" w:rsidR="00A01B13" w:rsidRPr="00CD4CCF" w:rsidRDefault="00A01B13" w:rsidP="00A01B13">
    <w:pPr>
      <w:pStyle w:val="Pidipagina"/>
      <w:rPr>
        <w:i/>
      </w:rPr>
    </w:pPr>
    <w:r w:rsidRPr="00A01B13">
      <w:rPr>
        <w:i/>
      </w:rPr>
      <w:t xml:space="preserve">Numero </w:t>
    </w:r>
    <w:r w:rsidR="00740B85">
      <w:rPr>
        <w:i/>
      </w:rPr>
      <w:t>3</w:t>
    </w:r>
    <w:r w:rsidRPr="00A01B13">
      <w:rPr>
        <w:i/>
      </w:rPr>
      <w:t>/IV – 2021. Studium – Ed. La</w:t>
    </w:r>
    <w:r w:rsidRPr="00CD4CCF">
      <w:rPr>
        <w:i/>
      </w:rPr>
      <w:t xml:space="preserve"> Scuola – ADAPT University Press</w:t>
    </w:r>
  </w:p>
  <w:p w14:paraId="72F1FBD2" w14:textId="77777777" w:rsidR="00A01B13" w:rsidRPr="00CD4CCF" w:rsidRDefault="00A01B13" w:rsidP="00A01B13">
    <w:pPr>
      <w:pStyle w:val="Pidipagina"/>
    </w:pPr>
    <w:r w:rsidRPr="00CD4CCF">
      <w:t>ISSN 0392-2790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0E4A" w14:textId="77777777" w:rsidR="006E5A43" w:rsidRPr="00CD4CCF" w:rsidRDefault="006E5A43" w:rsidP="006E5A43">
    <w:pPr>
      <w:pStyle w:val="Pidipagina"/>
    </w:pPr>
    <w:r w:rsidRPr="00CD4CCF">
      <w:t xml:space="preserve">Professionalità </w:t>
    </w:r>
    <w:r>
      <w:t>s</w:t>
    </w:r>
    <w:r w:rsidRPr="00CD4CCF">
      <w:t>tudi</w:t>
    </w:r>
  </w:p>
  <w:p w14:paraId="0A62EF46" w14:textId="77777777" w:rsidR="006E5A43" w:rsidRPr="00CD4CCF" w:rsidRDefault="006E5A43" w:rsidP="006E5A43">
    <w:pPr>
      <w:pStyle w:val="Pidipagina"/>
      <w:rPr>
        <w:i/>
      </w:rPr>
    </w:pPr>
    <w:r w:rsidRPr="00A01B13">
      <w:rPr>
        <w:i/>
      </w:rPr>
      <w:t xml:space="preserve">Numero </w:t>
    </w:r>
    <w:r>
      <w:rPr>
        <w:i/>
      </w:rPr>
      <w:t>2</w:t>
    </w:r>
    <w:r w:rsidRPr="00A01B13">
      <w:rPr>
        <w:i/>
      </w:rPr>
      <w:t>/V – 202</w:t>
    </w:r>
    <w:r>
      <w:rPr>
        <w:i/>
      </w:rPr>
      <w:t>2</w:t>
    </w:r>
    <w:r w:rsidRPr="00A01B13">
      <w:rPr>
        <w:i/>
      </w:rPr>
      <w:t>. Studium – Ed. La</w:t>
    </w:r>
    <w:r w:rsidRPr="00CD4CCF">
      <w:rPr>
        <w:i/>
      </w:rPr>
      <w:t xml:space="preserve"> Scuola – ADAPT University Press</w:t>
    </w:r>
  </w:p>
  <w:p w14:paraId="7BF86B90" w14:textId="667AF159" w:rsidR="00A01B13" w:rsidRPr="006E5A43" w:rsidRDefault="006E5A43" w:rsidP="006E5A43">
    <w:pPr>
      <w:pStyle w:val="Pidipagina"/>
    </w:pPr>
    <w:r w:rsidRPr="00CD4CCF">
      <w:t>ISSN 0392-2790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DFCC" w14:textId="3FA1622F" w:rsidR="0061791C" w:rsidRPr="00CD4CCF" w:rsidRDefault="0061791C" w:rsidP="00CD4CCF">
    <w:pPr>
      <w:pStyle w:val="Pidipagina"/>
    </w:pPr>
    <w:bookmarkStart w:id="3" w:name="_Hlk108076493"/>
    <w:bookmarkStart w:id="4" w:name="_Hlk108076494"/>
    <w:bookmarkStart w:id="5" w:name="_Hlk108076495"/>
    <w:bookmarkStart w:id="6" w:name="_Hlk108076496"/>
    <w:r w:rsidRPr="00CD4CCF">
      <w:t xml:space="preserve">Professionalità </w:t>
    </w:r>
    <w:r w:rsidR="002E6E9C">
      <w:t>s</w:t>
    </w:r>
    <w:r w:rsidRPr="00CD4CCF">
      <w:t>tudi</w:t>
    </w:r>
  </w:p>
  <w:p w14:paraId="440C81C8" w14:textId="234BC078" w:rsidR="00E21423" w:rsidRPr="00CD4CCF" w:rsidRDefault="000C3B8F" w:rsidP="00CD4CCF">
    <w:pPr>
      <w:pStyle w:val="Pidipagina"/>
      <w:rPr>
        <w:i/>
      </w:rPr>
    </w:pPr>
    <w:r w:rsidRPr="00A01B13">
      <w:rPr>
        <w:i/>
      </w:rPr>
      <w:t xml:space="preserve">Numero </w:t>
    </w:r>
    <w:r w:rsidR="006E5A43">
      <w:rPr>
        <w:i/>
      </w:rPr>
      <w:t>2</w:t>
    </w:r>
    <w:r w:rsidRPr="00A01B13">
      <w:rPr>
        <w:i/>
      </w:rPr>
      <w:t>/</w:t>
    </w:r>
    <w:r w:rsidR="00A01B13" w:rsidRPr="00A01B13">
      <w:rPr>
        <w:i/>
      </w:rPr>
      <w:t>V</w:t>
    </w:r>
    <w:r w:rsidRPr="00A01B13">
      <w:rPr>
        <w:i/>
      </w:rPr>
      <w:t xml:space="preserve"> – 20</w:t>
    </w:r>
    <w:r w:rsidR="002E6E9C" w:rsidRPr="00A01B13">
      <w:rPr>
        <w:i/>
      </w:rPr>
      <w:t>2</w:t>
    </w:r>
    <w:r w:rsidR="006E5A43">
      <w:rPr>
        <w:i/>
      </w:rPr>
      <w:t>2</w:t>
    </w:r>
    <w:r w:rsidR="0061791C" w:rsidRPr="00A01B13">
      <w:rPr>
        <w:i/>
      </w:rPr>
      <w:t>. Studium – Ed. La</w:t>
    </w:r>
    <w:r w:rsidR="0061791C" w:rsidRPr="00CD4CCF">
      <w:rPr>
        <w:i/>
      </w:rPr>
      <w:t xml:space="preserve"> Scuola – ADAPT University Press</w:t>
    </w:r>
  </w:p>
  <w:p w14:paraId="1BA1F670" w14:textId="7A7C4370" w:rsidR="002E10E0" w:rsidRPr="00CD4CCF" w:rsidRDefault="002E10E0" w:rsidP="00CD4CCF">
    <w:pPr>
      <w:pStyle w:val="Pidipagina"/>
    </w:pPr>
    <w:r w:rsidRPr="00CD4CCF">
      <w:t>ISSN 0392-2790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1993" w14:textId="77777777" w:rsidR="000756DA" w:rsidRDefault="000756DA" w:rsidP="00CD4CCF">
      <w:r>
        <w:separator/>
      </w:r>
    </w:p>
  </w:footnote>
  <w:footnote w:type="continuationSeparator" w:id="0">
    <w:p w14:paraId="4EC2C3B5" w14:textId="77777777" w:rsidR="000756DA" w:rsidRDefault="000756DA" w:rsidP="00CD4CCF">
      <w:r>
        <w:separator/>
      </w:r>
    </w:p>
  </w:footnote>
  <w:footnote w:type="continuationNotice" w:id="1">
    <w:p w14:paraId="0835E9BA" w14:textId="77777777" w:rsidR="000756DA" w:rsidRPr="00512C4E" w:rsidRDefault="000756DA" w:rsidP="00CD4CCF">
      <w:pPr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9AFE" w14:textId="6959250E" w:rsidR="00E21423" w:rsidRPr="00C9131A" w:rsidRDefault="00D22079" w:rsidP="00CD4CCF">
    <w:pPr>
      <w:pStyle w:val="Intestazione"/>
    </w:pPr>
    <w:r>
      <w:fldChar w:fldCharType="begin"/>
    </w:r>
    <w:r>
      <w:instrText xml:space="preserve"> PAGE   \* MERGEFORMAT </w:instrText>
    </w:r>
    <w:r>
      <w:fldChar w:fldCharType="separate"/>
    </w:r>
    <w:r w:rsidR="00515940">
      <w:rPr>
        <w:noProof/>
      </w:rPr>
      <w:t>2</w:t>
    </w:r>
    <w:r>
      <w:fldChar w:fldCharType="end"/>
    </w:r>
    <w:r w:rsidR="0007766A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B83FD7B" wp14:editId="51A03E42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4392295" cy="0"/>
              <wp:effectExtent l="9525" t="9525" r="825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22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64DA1" id="Line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345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" strokeweight=".25pt"/>
          </w:pict>
        </mc:Fallback>
      </mc:AlternateContent>
    </w:r>
    <w:r>
      <w:tab/>
    </w:r>
    <w:r w:rsidR="00A01B13">
      <w:t>Sommario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65E0" w14:textId="6FA25C80" w:rsidR="00E21423" w:rsidRDefault="0007766A" w:rsidP="00CD4CC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815D5F" wp14:editId="7CE7AE7E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4392295" cy="0"/>
              <wp:effectExtent l="9525" t="9525" r="825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22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322816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345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" strokeweight=".25pt"/>
          </w:pict>
        </mc:Fallback>
      </mc:AlternateContent>
    </w:r>
    <w:r w:rsidR="00A01B13">
      <w:t>Sommario</w:t>
    </w:r>
    <w:r w:rsidR="00D22079">
      <w:tab/>
    </w:r>
    <w:r w:rsidR="00D22079">
      <w:fldChar w:fldCharType="begin"/>
    </w:r>
    <w:r w:rsidR="00D22079">
      <w:instrText xml:space="preserve"> PAGE   \* MERGEFORMAT </w:instrText>
    </w:r>
    <w:r w:rsidR="00D22079">
      <w:fldChar w:fldCharType="separate"/>
    </w:r>
    <w:r w:rsidR="00515940">
      <w:rPr>
        <w:noProof/>
      </w:rPr>
      <w:t>3</w:t>
    </w:r>
    <w:r w:rsidR="00D2207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0D8E" w14:textId="6E33BB9B" w:rsidR="00A01B13" w:rsidRPr="006525E6" w:rsidRDefault="00A01B13" w:rsidP="00A01B13">
    <w:pPr>
      <w:spacing w:line="360" w:lineRule="exact"/>
      <w:ind w:right="-1"/>
      <w:jc w:val="right"/>
      <w:rPr>
        <w:rFonts w:ascii="Times New Roman" w:hAnsi="Times New Roman"/>
        <w:sz w:val="21"/>
        <w:szCs w:val="24"/>
      </w:rPr>
    </w:pPr>
    <w:r>
      <w:rPr>
        <w:b/>
        <w:i/>
        <w:caps/>
        <w:noProof/>
        <w:color w:val="808080"/>
        <w:sz w:val="37"/>
        <w:szCs w:val="24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5D7F64D" wp14:editId="1910A92A">
              <wp:simplePos x="0" y="0"/>
              <wp:positionH relativeFrom="column">
                <wp:posOffset>1978660</wp:posOffset>
              </wp:positionH>
              <wp:positionV relativeFrom="paragraph">
                <wp:posOffset>278764</wp:posOffset>
              </wp:positionV>
              <wp:extent cx="2411730" cy="0"/>
              <wp:effectExtent l="0" t="0" r="26670" b="2540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11730" cy="0"/>
                      </a:xfrm>
                      <a:prstGeom prst="line">
                        <a:avLst/>
                      </a:prstGeom>
                      <a:noFill/>
                      <a:ln w="139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E8423"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8pt,21.95pt" to="345.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" strokeweight="1.1pt"/>
          </w:pict>
        </mc:Fallback>
      </mc:AlternateContent>
    </w:r>
    <w:r w:rsidRPr="006525E6">
      <w:rPr>
        <w:b/>
        <w:i/>
        <w:caps/>
        <w:color w:val="808080"/>
        <w:sz w:val="37"/>
        <w:szCs w:val="24"/>
      </w:rPr>
      <w:t>Sommario</w:t>
    </w:r>
    <w:r w:rsidRPr="006525E6">
      <w:rPr>
        <w:b/>
        <w:smallCaps/>
        <w:sz w:val="37"/>
        <w:szCs w:val="24"/>
      </w:rPr>
      <w:t xml:space="preserve"> </w:t>
    </w:r>
    <w:r w:rsidRPr="006525E6">
      <w:rPr>
        <w:sz w:val="37"/>
        <w:szCs w:val="24"/>
      </w:rPr>
      <w:t>- n</w:t>
    </w:r>
    <w:r w:rsidRPr="004A68A7">
      <w:rPr>
        <w:sz w:val="37"/>
        <w:szCs w:val="24"/>
      </w:rPr>
      <w:t xml:space="preserve">. </w:t>
    </w:r>
    <w:r w:rsidR="006E5A43">
      <w:rPr>
        <w:sz w:val="37"/>
        <w:szCs w:val="24"/>
      </w:rPr>
      <w:t>2</w:t>
    </w:r>
    <w:r w:rsidRPr="004A68A7">
      <w:rPr>
        <w:sz w:val="37"/>
        <w:szCs w:val="24"/>
      </w:rPr>
      <w:t>/202</w:t>
    </w:r>
    <w:r w:rsidR="006E5A43">
      <w:rPr>
        <w:sz w:val="37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38B4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6EC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550E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9A20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86A6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2F42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E2C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FE7B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1ACE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DCE8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4C83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5028138">
    <w:abstractNumId w:val="0"/>
  </w:num>
  <w:num w:numId="2" w16cid:durableId="1381902034">
    <w:abstractNumId w:val="9"/>
  </w:num>
  <w:num w:numId="3" w16cid:durableId="1499541282">
    <w:abstractNumId w:val="4"/>
  </w:num>
  <w:num w:numId="4" w16cid:durableId="500314099">
    <w:abstractNumId w:val="3"/>
  </w:num>
  <w:num w:numId="5" w16cid:durableId="1132207615">
    <w:abstractNumId w:val="2"/>
  </w:num>
  <w:num w:numId="6" w16cid:durableId="82647483">
    <w:abstractNumId w:val="1"/>
  </w:num>
  <w:num w:numId="7" w16cid:durableId="1706636948">
    <w:abstractNumId w:val="10"/>
  </w:num>
  <w:num w:numId="8" w16cid:durableId="886450428">
    <w:abstractNumId w:val="8"/>
  </w:num>
  <w:num w:numId="9" w16cid:durableId="1545673186">
    <w:abstractNumId w:val="7"/>
  </w:num>
  <w:num w:numId="10" w16cid:durableId="1712535947">
    <w:abstractNumId w:val="6"/>
  </w:num>
  <w:num w:numId="11" w16cid:durableId="1469084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331"/>
    <w:rsid w:val="00002BCB"/>
    <w:rsid w:val="00023E51"/>
    <w:rsid w:val="000378BB"/>
    <w:rsid w:val="00040C46"/>
    <w:rsid w:val="000433B9"/>
    <w:rsid w:val="00060B33"/>
    <w:rsid w:val="00067B17"/>
    <w:rsid w:val="0007002F"/>
    <w:rsid w:val="000756DA"/>
    <w:rsid w:val="0007766A"/>
    <w:rsid w:val="000847EB"/>
    <w:rsid w:val="000876E8"/>
    <w:rsid w:val="00096833"/>
    <w:rsid w:val="000A2595"/>
    <w:rsid w:val="000A60BF"/>
    <w:rsid w:val="000A6DF2"/>
    <w:rsid w:val="000B1CA4"/>
    <w:rsid w:val="000B6741"/>
    <w:rsid w:val="000C3B8F"/>
    <w:rsid w:val="000D039C"/>
    <w:rsid w:val="000D444C"/>
    <w:rsid w:val="000E26E0"/>
    <w:rsid w:val="000E6619"/>
    <w:rsid w:val="000F6441"/>
    <w:rsid w:val="00101060"/>
    <w:rsid w:val="0010341F"/>
    <w:rsid w:val="001045F2"/>
    <w:rsid w:val="00125095"/>
    <w:rsid w:val="001355BD"/>
    <w:rsid w:val="00136BE5"/>
    <w:rsid w:val="00155429"/>
    <w:rsid w:val="001576BA"/>
    <w:rsid w:val="0017381E"/>
    <w:rsid w:val="00181495"/>
    <w:rsid w:val="00191835"/>
    <w:rsid w:val="001929AF"/>
    <w:rsid w:val="00193588"/>
    <w:rsid w:val="001B27C0"/>
    <w:rsid w:val="001D0F09"/>
    <w:rsid w:val="001D2624"/>
    <w:rsid w:val="001E237B"/>
    <w:rsid w:val="001E6A33"/>
    <w:rsid w:val="001F518A"/>
    <w:rsid w:val="001F5E7A"/>
    <w:rsid w:val="00201C05"/>
    <w:rsid w:val="00201DED"/>
    <w:rsid w:val="002070DD"/>
    <w:rsid w:val="002446BA"/>
    <w:rsid w:val="00247A4A"/>
    <w:rsid w:val="002551C4"/>
    <w:rsid w:val="00263668"/>
    <w:rsid w:val="0026652E"/>
    <w:rsid w:val="002673D3"/>
    <w:rsid w:val="00276939"/>
    <w:rsid w:val="0028729C"/>
    <w:rsid w:val="0029147E"/>
    <w:rsid w:val="002D386C"/>
    <w:rsid w:val="002D3A47"/>
    <w:rsid w:val="002E10E0"/>
    <w:rsid w:val="002E6E9C"/>
    <w:rsid w:val="002F3486"/>
    <w:rsid w:val="002F7AAF"/>
    <w:rsid w:val="003007CC"/>
    <w:rsid w:val="003101F2"/>
    <w:rsid w:val="0031158D"/>
    <w:rsid w:val="00327AA2"/>
    <w:rsid w:val="00331877"/>
    <w:rsid w:val="00364304"/>
    <w:rsid w:val="00366BBD"/>
    <w:rsid w:val="00367F26"/>
    <w:rsid w:val="00367F76"/>
    <w:rsid w:val="00371E15"/>
    <w:rsid w:val="003858E6"/>
    <w:rsid w:val="00392160"/>
    <w:rsid w:val="003941F2"/>
    <w:rsid w:val="00396497"/>
    <w:rsid w:val="003A03D5"/>
    <w:rsid w:val="003A321F"/>
    <w:rsid w:val="003B5552"/>
    <w:rsid w:val="003D53FD"/>
    <w:rsid w:val="003D5752"/>
    <w:rsid w:val="003E39D7"/>
    <w:rsid w:val="003F674A"/>
    <w:rsid w:val="003F7288"/>
    <w:rsid w:val="0040787B"/>
    <w:rsid w:val="004120FA"/>
    <w:rsid w:val="004238C1"/>
    <w:rsid w:val="00435685"/>
    <w:rsid w:val="00436027"/>
    <w:rsid w:val="00446A22"/>
    <w:rsid w:val="00450E47"/>
    <w:rsid w:val="00451771"/>
    <w:rsid w:val="00451B5F"/>
    <w:rsid w:val="004556A7"/>
    <w:rsid w:val="0045743A"/>
    <w:rsid w:val="004607ED"/>
    <w:rsid w:val="004714B3"/>
    <w:rsid w:val="00472FA6"/>
    <w:rsid w:val="0047584D"/>
    <w:rsid w:val="00475F43"/>
    <w:rsid w:val="0049385C"/>
    <w:rsid w:val="004A6C7A"/>
    <w:rsid w:val="004B0AB9"/>
    <w:rsid w:val="004B5E86"/>
    <w:rsid w:val="004B6449"/>
    <w:rsid w:val="005008DC"/>
    <w:rsid w:val="005008E2"/>
    <w:rsid w:val="005068D7"/>
    <w:rsid w:val="00507C79"/>
    <w:rsid w:val="00512C4E"/>
    <w:rsid w:val="00515940"/>
    <w:rsid w:val="0052655C"/>
    <w:rsid w:val="00535789"/>
    <w:rsid w:val="00535881"/>
    <w:rsid w:val="0054084E"/>
    <w:rsid w:val="005528DB"/>
    <w:rsid w:val="00554CA5"/>
    <w:rsid w:val="005659EC"/>
    <w:rsid w:val="0058110E"/>
    <w:rsid w:val="00594AFA"/>
    <w:rsid w:val="005B6137"/>
    <w:rsid w:val="005C19C6"/>
    <w:rsid w:val="005C41CE"/>
    <w:rsid w:val="005C64A4"/>
    <w:rsid w:val="005C69F6"/>
    <w:rsid w:val="005D4011"/>
    <w:rsid w:val="005D7FC3"/>
    <w:rsid w:val="005E4E14"/>
    <w:rsid w:val="005F485D"/>
    <w:rsid w:val="00603079"/>
    <w:rsid w:val="0061791C"/>
    <w:rsid w:val="0062201E"/>
    <w:rsid w:val="00623348"/>
    <w:rsid w:val="006277D5"/>
    <w:rsid w:val="006329E9"/>
    <w:rsid w:val="006548F7"/>
    <w:rsid w:val="00656F2A"/>
    <w:rsid w:val="006572CB"/>
    <w:rsid w:val="00661424"/>
    <w:rsid w:val="00673380"/>
    <w:rsid w:val="0068263B"/>
    <w:rsid w:val="00692541"/>
    <w:rsid w:val="006A2DCE"/>
    <w:rsid w:val="006A4193"/>
    <w:rsid w:val="006A7036"/>
    <w:rsid w:val="006C5614"/>
    <w:rsid w:val="006C6AA5"/>
    <w:rsid w:val="006D00DC"/>
    <w:rsid w:val="006D065B"/>
    <w:rsid w:val="006D3154"/>
    <w:rsid w:val="006E0DEA"/>
    <w:rsid w:val="006E4FC2"/>
    <w:rsid w:val="006E5A43"/>
    <w:rsid w:val="006E636A"/>
    <w:rsid w:val="006F5FF3"/>
    <w:rsid w:val="00704A57"/>
    <w:rsid w:val="00710389"/>
    <w:rsid w:val="007107AD"/>
    <w:rsid w:val="007138F7"/>
    <w:rsid w:val="00740B85"/>
    <w:rsid w:val="007414AC"/>
    <w:rsid w:val="00746AC5"/>
    <w:rsid w:val="00746E23"/>
    <w:rsid w:val="00755956"/>
    <w:rsid w:val="00757CDD"/>
    <w:rsid w:val="00762F2F"/>
    <w:rsid w:val="00773B5A"/>
    <w:rsid w:val="007861A7"/>
    <w:rsid w:val="007A7123"/>
    <w:rsid w:val="007B6E64"/>
    <w:rsid w:val="007C0DCA"/>
    <w:rsid w:val="007C3625"/>
    <w:rsid w:val="00814778"/>
    <w:rsid w:val="0082007E"/>
    <w:rsid w:val="00821215"/>
    <w:rsid w:val="008442AF"/>
    <w:rsid w:val="00852326"/>
    <w:rsid w:val="0086186C"/>
    <w:rsid w:val="008734F0"/>
    <w:rsid w:val="00880E99"/>
    <w:rsid w:val="00887649"/>
    <w:rsid w:val="008A3590"/>
    <w:rsid w:val="008A5697"/>
    <w:rsid w:val="008A5951"/>
    <w:rsid w:val="008B2431"/>
    <w:rsid w:val="008C03D0"/>
    <w:rsid w:val="008F2F38"/>
    <w:rsid w:val="008F6993"/>
    <w:rsid w:val="009100B7"/>
    <w:rsid w:val="00924BDA"/>
    <w:rsid w:val="009250BF"/>
    <w:rsid w:val="009272A8"/>
    <w:rsid w:val="009464AF"/>
    <w:rsid w:val="00974B74"/>
    <w:rsid w:val="00975430"/>
    <w:rsid w:val="009864F8"/>
    <w:rsid w:val="00993D64"/>
    <w:rsid w:val="009A2765"/>
    <w:rsid w:val="009A521D"/>
    <w:rsid w:val="009C0293"/>
    <w:rsid w:val="009C0463"/>
    <w:rsid w:val="009D3601"/>
    <w:rsid w:val="009E5689"/>
    <w:rsid w:val="009F61AC"/>
    <w:rsid w:val="009F7427"/>
    <w:rsid w:val="00A01B13"/>
    <w:rsid w:val="00A07AAD"/>
    <w:rsid w:val="00A25CD1"/>
    <w:rsid w:val="00A367B0"/>
    <w:rsid w:val="00A51D26"/>
    <w:rsid w:val="00A51E7E"/>
    <w:rsid w:val="00A54685"/>
    <w:rsid w:val="00A547DB"/>
    <w:rsid w:val="00A812D8"/>
    <w:rsid w:val="00A9308E"/>
    <w:rsid w:val="00A95E0D"/>
    <w:rsid w:val="00AC23EF"/>
    <w:rsid w:val="00AD36D4"/>
    <w:rsid w:val="00B0150D"/>
    <w:rsid w:val="00B01D53"/>
    <w:rsid w:val="00B03EE1"/>
    <w:rsid w:val="00B102BC"/>
    <w:rsid w:val="00B2091B"/>
    <w:rsid w:val="00B311FB"/>
    <w:rsid w:val="00B3187F"/>
    <w:rsid w:val="00B326BF"/>
    <w:rsid w:val="00B33F8B"/>
    <w:rsid w:val="00B759EC"/>
    <w:rsid w:val="00B875AE"/>
    <w:rsid w:val="00B966DA"/>
    <w:rsid w:val="00BA3F27"/>
    <w:rsid w:val="00BA63E2"/>
    <w:rsid w:val="00BB7802"/>
    <w:rsid w:val="00BC04B5"/>
    <w:rsid w:val="00BC2E18"/>
    <w:rsid w:val="00BC415C"/>
    <w:rsid w:val="00BC551A"/>
    <w:rsid w:val="00BC7100"/>
    <w:rsid w:val="00BD31F1"/>
    <w:rsid w:val="00BE7445"/>
    <w:rsid w:val="00BF35F6"/>
    <w:rsid w:val="00C02A36"/>
    <w:rsid w:val="00C16331"/>
    <w:rsid w:val="00C20A03"/>
    <w:rsid w:val="00C303E6"/>
    <w:rsid w:val="00C310AE"/>
    <w:rsid w:val="00C53104"/>
    <w:rsid w:val="00C6276F"/>
    <w:rsid w:val="00C73DA0"/>
    <w:rsid w:val="00C9131A"/>
    <w:rsid w:val="00CB601E"/>
    <w:rsid w:val="00CC13DC"/>
    <w:rsid w:val="00CC4597"/>
    <w:rsid w:val="00CD0F69"/>
    <w:rsid w:val="00CD42EC"/>
    <w:rsid w:val="00CD4CCF"/>
    <w:rsid w:val="00CF4F7E"/>
    <w:rsid w:val="00D22079"/>
    <w:rsid w:val="00D5307D"/>
    <w:rsid w:val="00D6523E"/>
    <w:rsid w:val="00DA65E7"/>
    <w:rsid w:val="00DB57C3"/>
    <w:rsid w:val="00DD4C98"/>
    <w:rsid w:val="00DF3382"/>
    <w:rsid w:val="00E03B1E"/>
    <w:rsid w:val="00E21423"/>
    <w:rsid w:val="00E2261D"/>
    <w:rsid w:val="00E35B7B"/>
    <w:rsid w:val="00E36576"/>
    <w:rsid w:val="00E65C91"/>
    <w:rsid w:val="00E66A46"/>
    <w:rsid w:val="00E7498C"/>
    <w:rsid w:val="00EA07BA"/>
    <w:rsid w:val="00EA3E5F"/>
    <w:rsid w:val="00EA4FFF"/>
    <w:rsid w:val="00EA728C"/>
    <w:rsid w:val="00EE5BF6"/>
    <w:rsid w:val="00F03A16"/>
    <w:rsid w:val="00F111D5"/>
    <w:rsid w:val="00F81DA4"/>
    <w:rsid w:val="00F90DF1"/>
    <w:rsid w:val="00FA6612"/>
    <w:rsid w:val="00FA7E5F"/>
    <w:rsid w:val="00FB2E9C"/>
    <w:rsid w:val="00FB75BD"/>
    <w:rsid w:val="00FC66D5"/>
    <w:rsid w:val="00FD1920"/>
    <w:rsid w:val="00FD7BE8"/>
    <w:rsid w:val="00FF12D0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C6827"/>
  <w15:docId w15:val="{5C7CDA19-63FE-4AD7-84A4-9FF8EF1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PS Corpo del Testo"/>
    <w:qFormat/>
    <w:rsid w:val="00CD4CCF"/>
    <w:pPr>
      <w:jc w:val="both"/>
    </w:pPr>
    <w:rPr>
      <w:rFonts w:ascii="Times" w:eastAsia="Times" w:hAnsi="Times"/>
      <w:sz w:val="24"/>
      <w:szCs w:val="23"/>
    </w:rPr>
  </w:style>
  <w:style w:type="paragraph" w:styleId="Titolo1">
    <w:name w:val="heading 1"/>
    <w:aliases w:val="Titolo CONTRIBUTO"/>
    <w:basedOn w:val="Normale"/>
    <w:next w:val="Normale"/>
    <w:link w:val="Titolo1Carattere"/>
    <w:rsid w:val="00515940"/>
    <w:pPr>
      <w:jc w:val="right"/>
      <w:outlineLvl w:val="0"/>
    </w:pPr>
    <w:rPr>
      <w:rFonts w:eastAsia="Times New Roman"/>
      <w:b/>
      <w:bCs/>
      <w:sz w:val="26"/>
      <w:szCs w:val="20"/>
    </w:rPr>
  </w:style>
  <w:style w:type="paragraph" w:styleId="Titolo2">
    <w:name w:val="heading 2"/>
    <w:aliases w:val="Titolo PARAGRAFO"/>
    <w:basedOn w:val="Normale"/>
    <w:next w:val="Normale"/>
    <w:link w:val="Titolo2Carattere"/>
    <w:unhideWhenUsed/>
    <w:qFormat/>
    <w:rsid w:val="00515940"/>
    <w:pPr>
      <w:keepNext/>
      <w:spacing w:after="240"/>
      <w:ind w:left="357" w:hanging="357"/>
      <w:outlineLvl w:val="1"/>
    </w:pPr>
    <w:rPr>
      <w:b/>
      <w:szCs w:val="22"/>
    </w:rPr>
  </w:style>
  <w:style w:type="paragraph" w:styleId="Titolo3">
    <w:name w:val="heading 3"/>
    <w:aliases w:val="Titolo SOTTOPARAGRAFO"/>
    <w:basedOn w:val="Normale"/>
    <w:next w:val="Normale"/>
    <w:link w:val="Titolo3Carattere"/>
    <w:unhideWhenUsed/>
    <w:qFormat/>
    <w:rsid w:val="00515940"/>
    <w:pPr>
      <w:keepNext/>
      <w:spacing w:after="240"/>
      <w:ind w:left="567" w:hanging="567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C16331"/>
    <w:rPr>
      <w:vertAlign w:val="superscript"/>
    </w:rPr>
  </w:style>
  <w:style w:type="paragraph" w:customStyle="1" w:styleId="PSSpaziprimapagina">
    <w:name w:val="PS Spazi prima pagina"/>
    <w:qFormat/>
    <w:rsid w:val="00CD4CCF"/>
    <w:pPr>
      <w:jc w:val="right"/>
    </w:pPr>
    <w:rPr>
      <w:rFonts w:ascii="Times" w:hAnsi="Times"/>
      <w:i/>
      <w:iCs/>
      <w:sz w:val="34"/>
    </w:rPr>
  </w:style>
  <w:style w:type="paragraph" w:customStyle="1" w:styleId="PSNomeautore">
    <w:name w:val="PS Nome autore"/>
    <w:qFormat/>
    <w:rsid w:val="00CD4CCF"/>
    <w:pPr>
      <w:jc w:val="right"/>
    </w:pPr>
    <w:rPr>
      <w:rFonts w:ascii="Times" w:hAnsi="Times"/>
      <w:i/>
      <w:iCs/>
      <w:sz w:val="22"/>
    </w:rPr>
  </w:style>
  <w:style w:type="paragraph" w:customStyle="1" w:styleId="PSSommario">
    <w:name w:val="PS Sommario"/>
    <w:link w:val="PSSommarioCarattere"/>
    <w:qFormat/>
    <w:rsid w:val="00CD4CCF"/>
    <w:pPr>
      <w:ind w:left="357" w:hanging="357"/>
      <w:jc w:val="both"/>
    </w:pPr>
    <w:rPr>
      <w:rFonts w:ascii="Times" w:eastAsia="Times" w:hAnsi="Times"/>
      <w:szCs w:val="19"/>
    </w:rPr>
  </w:style>
  <w:style w:type="character" w:customStyle="1" w:styleId="PSSommarioCarattere">
    <w:name w:val="PS Sommario Carattere"/>
    <w:link w:val="PSSommario"/>
    <w:rsid w:val="00CD4CCF"/>
    <w:rPr>
      <w:rFonts w:ascii="Times" w:eastAsia="Times" w:hAnsi="Times"/>
      <w:szCs w:val="19"/>
    </w:rPr>
  </w:style>
  <w:style w:type="character" w:styleId="Numeropagina">
    <w:name w:val="page number"/>
    <w:basedOn w:val="Carpredefinitoparagrafo"/>
    <w:qFormat/>
    <w:rsid w:val="00BF35F6"/>
  </w:style>
  <w:style w:type="paragraph" w:styleId="Intestazione">
    <w:name w:val="header"/>
    <w:basedOn w:val="Normale"/>
    <w:link w:val="IntestazioneCarattere"/>
    <w:uiPriority w:val="99"/>
    <w:qFormat/>
    <w:rsid w:val="00CD4CCF"/>
    <w:pPr>
      <w:tabs>
        <w:tab w:val="right" w:pos="6917"/>
      </w:tabs>
      <w:spacing w:line="200" w:lineRule="exact"/>
      <w:jc w:val="right"/>
    </w:pPr>
    <w:rPr>
      <w:smallCaps/>
      <w:sz w:val="19"/>
      <w:szCs w:val="19"/>
    </w:rPr>
  </w:style>
  <w:style w:type="paragraph" w:styleId="Testonotaapidipagina">
    <w:name w:val="footnote text"/>
    <w:basedOn w:val="Normale"/>
    <w:rsid w:val="00CD4CCF"/>
    <w:rPr>
      <w:sz w:val="20"/>
      <w:szCs w:val="20"/>
    </w:rPr>
  </w:style>
  <w:style w:type="paragraph" w:styleId="Pidipagina">
    <w:name w:val="footer"/>
    <w:basedOn w:val="Normale"/>
    <w:link w:val="PidipaginaCarattere"/>
    <w:qFormat/>
    <w:rsid w:val="00CD4CCF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16"/>
      <w:szCs w:val="16"/>
    </w:rPr>
  </w:style>
  <w:style w:type="paragraph" w:customStyle="1" w:styleId="PSAbstract">
    <w:name w:val="PS Abstract"/>
    <w:basedOn w:val="Normale"/>
    <w:qFormat/>
    <w:rsid w:val="00CD4CCF"/>
    <w:rPr>
      <w:i/>
      <w:sz w:val="20"/>
      <w:szCs w:val="20"/>
    </w:rPr>
  </w:style>
  <w:style w:type="character" w:customStyle="1" w:styleId="Titolo1Carattere">
    <w:name w:val="Titolo 1 Carattere"/>
    <w:aliases w:val="Titolo CONTRIBUTO Carattere"/>
    <w:basedOn w:val="Carpredefinitoparagrafo"/>
    <w:link w:val="Titolo1"/>
    <w:rsid w:val="00515940"/>
    <w:rPr>
      <w:rFonts w:ascii="Times" w:hAnsi="Times"/>
      <w:b/>
      <w:bCs/>
      <w:sz w:val="26"/>
    </w:rPr>
  </w:style>
  <w:style w:type="character" w:customStyle="1" w:styleId="Titolo2Carattere">
    <w:name w:val="Titolo 2 Carattere"/>
    <w:aliases w:val="Titolo PARAGRAFO Carattere"/>
    <w:basedOn w:val="Carpredefinitoparagrafo"/>
    <w:link w:val="Titolo2"/>
    <w:rsid w:val="00515940"/>
    <w:rPr>
      <w:rFonts w:ascii="Times" w:eastAsia="Times" w:hAnsi="Times"/>
      <w:b/>
      <w:sz w:val="24"/>
      <w:szCs w:val="22"/>
    </w:rPr>
  </w:style>
  <w:style w:type="character" w:customStyle="1" w:styleId="Titolo3Carattere">
    <w:name w:val="Titolo 3 Carattere"/>
    <w:aliases w:val="Titolo SOTTOPARAGRAFO Carattere"/>
    <w:basedOn w:val="Carpredefinitoparagrafo"/>
    <w:link w:val="Titolo3"/>
    <w:rsid w:val="00515940"/>
    <w:rPr>
      <w:rFonts w:ascii="Times" w:eastAsia="Times" w:hAnsi="Times"/>
      <w:b/>
      <w:sz w:val="24"/>
      <w:szCs w:val="23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B13"/>
    <w:rPr>
      <w:rFonts w:ascii="Times" w:eastAsia="Times" w:hAnsi="Times"/>
      <w:smallCaps/>
      <w:sz w:val="19"/>
      <w:szCs w:val="19"/>
    </w:rPr>
  </w:style>
  <w:style w:type="character" w:customStyle="1" w:styleId="PidipaginaCarattere">
    <w:name w:val="Piè di pagina Carattere"/>
    <w:basedOn w:val="Carpredefinitoparagrafo"/>
    <w:link w:val="Pidipagina"/>
    <w:rsid w:val="00A01B13"/>
    <w:rPr>
      <w:sz w:val="16"/>
      <w:szCs w:val="16"/>
    </w:rPr>
  </w:style>
  <w:style w:type="character" w:customStyle="1" w:styleId="DRISezioni">
    <w:name w:val="DRI Sezioni"/>
    <w:rsid w:val="00A01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B7AE3-E3D0-48F2-8460-51088216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DRI - Dottrina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Professionalità studi</dc:title>
  <dc:creator>ADAPT University Press</dc:creator>
  <cp:lastModifiedBy>Tomaso Tiraboschi</cp:lastModifiedBy>
  <cp:revision>6</cp:revision>
  <dcterms:created xsi:type="dcterms:W3CDTF">2022-04-20T07:22:00Z</dcterms:created>
  <dcterms:modified xsi:type="dcterms:W3CDTF">2022-07-07T06:56:00Z</dcterms:modified>
</cp:coreProperties>
</file>