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26B" w:rsidRDefault="007D52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1"/>
        <w:gridCol w:w="6974"/>
      </w:tblGrid>
      <w:tr w:rsidR="007A1B55" w:rsidTr="00031FFD">
        <w:tc>
          <w:tcPr>
            <w:tcW w:w="3951" w:type="dxa"/>
          </w:tcPr>
          <w:p w:rsidR="00075792" w:rsidRDefault="00075792" w:rsidP="00031FFD">
            <w:pPr>
              <w:jc w:val="center"/>
            </w:pPr>
            <w:r w:rsidRPr="00075792">
              <w:rPr>
                <w:noProof/>
              </w:rPr>
              <w:drawing>
                <wp:inline distT="0" distB="0" distL="0" distR="0">
                  <wp:extent cx="2901241" cy="3228975"/>
                  <wp:effectExtent l="0" t="0" r="0" b="0"/>
                  <wp:docPr id="3" name="Picture 3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62" cy="32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075792" w:rsidRDefault="00075792">
            <w:r w:rsidRPr="00075792">
              <w:rPr>
                <w:b/>
              </w:rPr>
              <w:t>Gestión de la edad en la empresa. Reto y oportunidad</w:t>
            </w:r>
            <w:r>
              <w:t xml:space="preserve"> [</w:t>
            </w:r>
            <w:proofErr w:type="spellStart"/>
            <w:r>
              <w:t>Spanish</w:t>
            </w:r>
            <w:proofErr w:type="spellEnd"/>
            <w:r>
              <w:t>]</w:t>
            </w:r>
          </w:p>
          <w:p w:rsidR="00075792" w:rsidRDefault="00075792"/>
          <w:p w:rsidR="00075792" w:rsidRPr="00C925E3" w:rsidRDefault="00A10AD8">
            <w:r>
              <w:t xml:space="preserve">Partiendo del análisis del cambio demográfico y laboral en España, este documento </w:t>
            </w:r>
            <w:r w:rsidR="00C925E3">
              <w:t xml:space="preserve">describe cómo se percibe ese cambio —considerado un reto— y qué oportunidades ofrece. Introduce el concepto de </w:t>
            </w:r>
            <w:r w:rsidR="00C925E3">
              <w:rPr>
                <w:i/>
              </w:rPr>
              <w:t>gestión de la edad</w:t>
            </w:r>
            <w:r w:rsidR="00C925E3">
              <w:t xml:space="preserve"> y explica en detalle</w:t>
            </w:r>
            <w:r w:rsidR="00584C81">
              <w:t xml:space="preserve"> y de modo práctico</w:t>
            </w:r>
            <w:r w:rsidR="00C925E3">
              <w:t xml:space="preserve"> cómo pueden actuar las empresas al respecto del envejecimiento.</w:t>
            </w:r>
          </w:p>
        </w:tc>
      </w:tr>
      <w:tr w:rsidR="007A1B55" w:rsidTr="00031FFD">
        <w:tc>
          <w:tcPr>
            <w:tcW w:w="3951" w:type="dxa"/>
          </w:tcPr>
          <w:p w:rsidR="00075792" w:rsidRDefault="007A1B55" w:rsidP="00031FFD">
            <w:pPr>
              <w:jc w:val="center"/>
            </w:pPr>
            <w:r w:rsidRPr="007A1B55">
              <w:rPr>
                <w:noProof/>
              </w:rPr>
              <w:lastRenderedPageBreak/>
              <w:drawing>
                <wp:inline distT="0" distB="0" distL="0" distR="0">
                  <wp:extent cx="2257425" cy="2768801"/>
                  <wp:effectExtent l="0" t="0" r="0" b="0"/>
                  <wp:docPr id="4" name="Picture 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53" cy="277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075792" w:rsidRDefault="00B9072B">
            <w:r w:rsidRPr="00B9072B">
              <w:rPr>
                <w:b/>
              </w:rPr>
              <w:t>Mayores de 55 años en el mercado de trabajo español</w:t>
            </w:r>
            <w:r>
              <w:t xml:space="preserve"> [</w:t>
            </w:r>
            <w:proofErr w:type="spellStart"/>
            <w:r>
              <w:t>Spanish</w:t>
            </w:r>
            <w:proofErr w:type="spellEnd"/>
            <w:r>
              <w:t>]</w:t>
            </w:r>
          </w:p>
          <w:p w:rsidR="00B9072B" w:rsidRDefault="00B9072B"/>
          <w:p w:rsidR="00B9072B" w:rsidRDefault="00B9072B">
            <w:r>
              <w:t xml:space="preserve">El sindicato UGT </w:t>
            </w:r>
            <w:r w:rsidR="005F6A9B">
              <w:t>estudia cómo se ha transformado, en España, la situación de empleo de las personas mayores de 55 años entre 2007 y 2017. Entre las conclusiones del informe cabe destacar que, en una década, el número de desempleados en ese grupo de edad ha crecido un 322%, y la tasa de parcialidad es también más elevada. Este trabajo denuncia el desánimo entre las personas mayores de 55 años debido a la falta de oportunidades de empleo y formación y a la ausencia de políticas activas.</w:t>
            </w:r>
          </w:p>
        </w:tc>
      </w:tr>
      <w:tr w:rsidR="007D33DA" w:rsidTr="00031FFD">
        <w:tc>
          <w:tcPr>
            <w:tcW w:w="3951" w:type="dxa"/>
          </w:tcPr>
          <w:p w:rsidR="007D33DA" w:rsidRPr="007A1B55" w:rsidRDefault="00142722" w:rsidP="00142722">
            <w:pPr>
              <w:rPr>
                <w:noProof/>
              </w:rPr>
            </w:pPr>
            <w:r w:rsidRPr="00142722">
              <w:rPr>
                <w:noProof/>
              </w:rPr>
              <w:lastRenderedPageBreak/>
              <w:drawing>
                <wp:inline distT="0" distB="0" distL="0" distR="0">
                  <wp:extent cx="2924175" cy="4058728"/>
                  <wp:effectExtent l="0" t="0" r="0" b="0"/>
                  <wp:docPr id="7" name="Picture 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247" cy="406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7D33DA" w:rsidRDefault="00A7797A">
            <w:r>
              <w:rPr>
                <w:b/>
              </w:rPr>
              <w:t xml:space="preserve">Guía para la gestión de la edad en las organizaciones de Euskadi </w:t>
            </w:r>
            <w:r>
              <w:t>[</w:t>
            </w:r>
            <w:proofErr w:type="spellStart"/>
            <w:r>
              <w:t>Spanish</w:t>
            </w:r>
            <w:proofErr w:type="spellEnd"/>
            <w:r>
              <w:t>]</w:t>
            </w:r>
          </w:p>
          <w:p w:rsidR="00A7797A" w:rsidRDefault="00A7797A"/>
          <w:p w:rsidR="00A7797A" w:rsidRPr="00A7797A" w:rsidRDefault="00B40B69">
            <w:r>
              <w:t>Esta Guía pone el foco en las estrategias y políticas de gestión de la edad en las organizaciones del País Vasco. Recoge 12 propuestas de aplicación en dichas organizaciones y 3 recomendaciones para las administraciones públicas. Todo ello a raíz de reflexiones llevadas a cabo en grupo de trabajo convocados al efecto, y con el horizonte de fondo de mejorar la competitividad y capitalizar el conocimiento y la experiencia de todos los trabajadores.</w:t>
            </w:r>
            <w:bookmarkStart w:id="0" w:name="_GoBack"/>
            <w:bookmarkEnd w:id="0"/>
          </w:p>
        </w:tc>
      </w:tr>
      <w:tr w:rsidR="007D33DA" w:rsidTr="00031FFD">
        <w:tc>
          <w:tcPr>
            <w:tcW w:w="3951" w:type="dxa"/>
          </w:tcPr>
          <w:p w:rsidR="007D33DA" w:rsidRPr="007A1B55" w:rsidRDefault="00A05043" w:rsidP="00031FFD">
            <w:pPr>
              <w:jc w:val="center"/>
              <w:rPr>
                <w:noProof/>
              </w:rPr>
            </w:pPr>
            <w:r w:rsidRPr="00A05043">
              <w:rPr>
                <w:noProof/>
              </w:rPr>
              <w:lastRenderedPageBreak/>
              <w:drawing>
                <wp:inline distT="0" distB="0" distL="0" distR="0" wp14:anchorId="1022B4DF" wp14:editId="1E81820A">
                  <wp:extent cx="2731625" cy="3657600"/>
                  <wp:effectExtent l="0" t="0" r="0" b="0"/>
                  <wp:docPr id="6" name="Picture 3">
                    <a:hlinkClick xmlns:a="http://schemas.openxmlformats.org/drawingml/2006/main" r:id="rId10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305598-A584-48C8-827F-66E9CDDD0D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>
                            <a:hlinkClick r:id="rId10"/>
                            <a:extLst>
                              <a:ext uri="{FF2B5EF4-FFF2-40B4-BE49-F238E27FC236}">
                                <a16:creationId xmlns:a16="http://schemas.microsoft.com/office/drawing/2014/main" id="{90305598-A584-48C8-827F-66E9CDDD0D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63038" t="3144" r="14557" b="3142"/>
                          <a:stretch/>
                        </pic:blipFill>
                        <pic:spPr>
                          <a:xfrm>
                            <a:off x="0" y="0"/>
                            <a:ext cx="273162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7D33DA" w:rsidRDefault="00A05043">
            <w:r>
              <w:rPr>
                <w:b/>
              </w:rPr>
              <w:t xml:space="preserve">Es hora de gestionar la edad. Libro Blanco de Adecco </w:t>
            </w:r>
            <w:proofErr w:type="spellStart"/>
            <w:r>
              <w:rPr>
                <w:b/>
              </w:rPr>
              <w:t>Group</w:t>
            </w:r>
            <w:proofErr w:type="spellEnd"/>
            <w:r>
              <w:rPr>
                <w:b/>
              </w:rPr>
              <w:t xml:space="preserve"> </w:t>
            </w:r>
            <w:r w:rsidRPr="00A05043">
              <w:t>[</w:t>
            </w:r>
            <w:proofErr w:type="spellStart"/>
            <w:r w:rsidRPr="00A05043">
              <w:t>Spanish</w:t>
            </w:r>
            <w:proofErr w:type="spellEnd"/>
            <w:r w:rsidRPr="00A05043">
              <w:t>]</w:t>
            </w:r>
          </w:p>
          <w:p w:rsidR="00A05043" w:rsidRDefault="00A05043">
            <w:pPr>
              <w:rPr>
                <w:b/>
              </w:rPr>
            </w:pPr>
          </w:p>
          <w:p w:rsidR="00B524F6" w:rsidRDefault="00123D7A" w:rsidP="00557221">
            <w:pPr>
              <w:rPr>
                <w:rFonts w:ascii="Arial" w:eastAsia="Times New Roman" w:hAnsi="Arial" w:cs="Arial"/>
                <w:lang w:eastAsia="es-ES"/>
              </w:rPr>
            </w:pPr>
            <w:r w:rsidRPr="00123D7A">
              <w:rPr>
                <w:rFonts w:ascii="Arial" w:eastAsia="Times New Roman" w:hAnsi="Arial" w:cs="Arial"/>
                <w:lang w:eastAsia="es-ES"/>
              </w:rPr>
              <w:t>Este documento</w:t>
            </w:r>
            <w:r>
              <w:rPr>
                <w:rFonts w:ascii="Arial" w:eastAsia="Times New Roman" w:hAnsi="Arial" w:cs="Arial"/>
                <w:lang w:eastAsia="es-ES"/>
              </w:rPr>
              <w:t xml:space="preserve"> presenta una visión general, de ámbito europeo, acerca de qué instrumentos políticos pueden permitir que nos enfrentemos con éxito al reto del envejecimiento poblacional.</w:t>
            </w:r>
          </w:p>
          <w:p w:rsidR="00B524F6" w:rsidRDefault="00B524F6" w:rsidP="00557221">
            <w:pPr>
              <w:rPr>
                <w:rFonts w:ascii="Arial" w:eastAsia="Times New Roman" w:hAnsi="Arial" w:cs="Arial"/>
                <w:lang w:eastAsia="es-ES"/>
              </w:rPr>
            </w:pPr>
          </w:p>
          <w:p w:rsidR="00557221" w:rsidRPr="00123D7A" w:rsidRDefault="00557221" w:rsidP="00557221">
            <w:pPr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Se aconseja a los empresarios </w:t>
            </w:r>
            <w:r w:rsidRPr="00123D7A">
              <w:rPr>
                <w:rFonts w:ascii="Arial" w:eastAsia="Times New Roman" w:hAnsi="Arial" w:cs="Arial"/>
                <w:lang w:eastAsia="es-ES"/>
              </w:rPr>
              <w:t xml:space="preserve">implantar una política de recursos humanos que impida la discriminación, para garantizar que las prácticas no discriminatorias son la norma a lo largo de toda la vida </w:t>
            </w:r>
          </w:p>
          <w:p w:rsidR="00557221" w:rsidRPr="00123D7A" w:rsidRDefault="00557221" w:rsidP="00557221">
            <w:pPr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>l</w:t>
            </w:r>
            <w:r w:rsidRPr="00123D7A">
              <w:rPr>
                <w:rFonts w:ascii="Arial" w:eastAsia="Times New Roman" w:hAnsi="Arial" w:cs="Arial"/>
                <w:lang w:eastAsia="es-ES"/>
              </w:rPr>
              <w:t>aboral</w:t>
            </w:r>
            <w:r>
              <w:rPr>
                <w:rFonts w:ascii="Arial" w:eastAsia="Times New Roman" w:hAnsi="Arial" w:cs="Arial"/>
                <w:lang w:eastAsia="es-ES"/>
              </w:rPr>
              <w:t>. Los autores apuestan por promover la diversidad de edades como un valor en el contexto laboral</w:t>
            </w:r>
            <w:r w:rsidR="005E23DD">
              <w:rPr>
                <w:rFonts w:ascii="Arial" w:eastAsia="Times New Roman" w:hAnsi="Arial" w:cs="Arial"/>
                <w:lang w:eastAsia="es-ES"/>
              </w:rPr>
              <w:t xml:space="preserve"> y </w:t>
            </w:r>
            <w:r w:rsidR="00B524F6">
              <w:rPr>
                <w:rFonts w:ascii="Arial" w:eastAsia="Times New Roman" w:hAnsi="Arial" w:cs="Arial"/>
                <w:lang w:eastAsia="es-ES"/>
              </w:rPr>
              <w:t>aportan herramientas al alcance de las empresas para cambiar su estrategia de gestión de la edad.</w:t>
            </w:r>
          </w:p>
          <w:p w:rsidR="00123D7A" w:rsidRDefault="00123D7A">
            <w:pPr>
              <w:rPr>
                <w:rFonts w:ascii="Arial" w:eastAsia="Times New Roman" w:hAnsi="Arial" w:cs="Arial"/>
                <w:lang w:eastAsia="es-ES"/>
              </w:rPr>
            </w:pPr>
          </w:p>
          <w:p w:rsidR="00123D7A" w:rsidRDefault="00123D7A">
            <w:pPr>
              <w:rPr>
                <w:rFonts w:ascii="Arial" w:eastAsia="Times New Roman" w:hAnsi="Arial" w:cs="Arial"/>
                <w:lang w:eastAsia="es-ES"/>
              </w:rPr>
            </w:pPr>
          </w:p>
          <w:p w:rsidR="00A05043" w:rsidRPr="00557221" w:rsidRDefault="00123D7A" w:rsidP="00557221">
            <w:pPr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 </w:t>
            </w:r>
          </w:p>
        </w:tc>
      </w:tr>
      <w:tr w:rsidR="007A1B55" w:rsidTr="00031FFD">
        <w:tc>
          <w:tcPr>
            <w:tcW w:w="3951" w:type="dxa"/>
          </w:tcPr>
          <w:p w:rsidR="00075792" w:rsidRDefault="002833AC" w:rsidP="00031FFD">
            <w:pPr>
              <w:jc w:val="center"/>
            </w:pPr>
            <w:r w:rsidRPr="00E26314"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2371725" cy="3346492"/>
                  <wp:effectExtent l="0" t="0" r="0" b="6350"/>
                  <wp:docPr id="5" name="Picture 5" descr="https://www.fraternidad.com/sites/default/files/2017-05/Portada-Envejecimiento-activo-Fraternidad-Mupres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s://www.fraternidad.com/sites/default/files/2017-05/Portada-Envejecimiento-activo-Fraternidad-Mupres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4" cy="335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075792" w:rsidRDefault="002833AC">
            <w:r w:rsidRPr="002833AC">
              <w:rPr>
                <w:b/>
              </w:rPr>
              <w:t>El envejecimiento activo. Nuevo reto de salud laboral: entre tradición y renovación</w:t>
            </w:r>
            <w:r>
              <w:t xml:space="preserve"> [</w:t>
            </w:r>
            <w:proofErr w:type="spellStart"/>
            <w:r>
              <w:t>Spanish</w:t>
            </w:r>
            <w:proofErr w:type="spellEnd"/>
            <w:r>
              <w:t>]</w:t>
            </w:r>
          </w:p>
          <w:p w:rsidR="002833AC" w:rsidRDefault="002833AC"/>
          <w:p w:rsidR="00232C9F" w:rsidRDefault="00232C9F">
            <w:r>
              <w:t>Libro resultado de la colaboración entre la mutua Fraternidad-</w:t>
            </w:r>
            <w:proofErr w:type="spellStart"/>
            <w:r>
              <w:t>Muprespa</w:t>
            </w:r>
            <w:proofErr w:type="spellEnd"/>
            <w:r>
              <w:t xml:space="preserve"> y la Universidad de Jaén, que trata de dar respuesta a algunas de las cuestiones abiertas </w:t>
            </w:r>
            <w:r>
              <w:t xml:space="preserve">por la creciente longevidad en su relación con la actividad, la salud y el trabajo. </w:t>
            </w:r>
            <w:r>
              <w:t>El documento apuesta por una visión de la vida laboral en clave de trayectoria</w:t>
            </w:r>
            <w:r w:rsidR="00641184">
              <w:t xml:space="preserve"> y cubre aspectos diversos aportados por investigadores, empresas de protección de los trabajadores y técnicos de la administración pública.</w:t>
            </w:r>
          </w:p>
          <w:p w:rsidR="00472D9D" w:rsidRDefault="00472D9D" w:rsidP="00641184"/>
        </w:tc>
      </w:tr>
    </w:tbl>
    <w:p w:rsidR="00075792" w:rsidRDefault="00075792"/>
    <w:sectPr w:rsidR="00075792" w:rsidSect="000757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92"/>
    <w:rsid w:val="00031FFD"/>
    <w:rsid w:val="00034E01"/>
    <w:rsid w:val="00075792"/>
    <w:rsid w:val="000E2E56"/>
    <w:rsid w:val="00123D7A"/>
    <w:rsid w:val="00142722"/>
    <w:rsid w:val="00232C9F"/>
    <w:rsid w:val="002833AC"/>
    <w:rsid w:val="00472D9D"/>
    <w:rsid w:val="00557221"/>
    <w:rsid w:val="00584C81"/>
    <w:rsid w:val="005E23DD"/>
    <w:rsid w:val="005F6A9B"/>
    <w:rsid w:val="00641184"/>
    <w:rsid w:val="007A1B55"/>
    <w:rsid w:val="007D33DA"/>
    <w:rsid w:val="007D526B"/>
    <w:rsid w:val="00A05043"/>
    <w:rsid w:val="00A10AD8"/>
    <w:rsid w:val="00A7797A"/>
    <w:rsid w:val="00B40B69"/>
    <w:rsid w:val="00B524F6"/>
    <w:rsid w:val="00B9072B"/>
    <w:rsid w:val="00C9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DA54D"/>
  <w15:chartTrackingRefBased/>
  <w15:docId w15:val="{2E3E8E09-5ECF-439F-8382-CD34D397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5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5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nobasque.eus/descargas/descargar.php?file=79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gt.es/Publicaciones/2017-04-01-%20INFORME%20MAYORES%2055%20A%C3%91OS-OK.pd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0" Type="http://schemas.openxmlformats.org/officeDocument/2006/relationships/hyperlink" Target="http://studylib.es/doc/8128331/hora-de-gestionar-la-edad" TargetMode="External"/><Relationship Id="rId4" Type="http://schemas.openxmlformats.org/officeDocument/2006/relationships/hyperlink" Target="http://www.mutuanavarra.es/portals/0/documentos/mn_guia_es_gestion_edad_ok.pdf" TargetMode="Externa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</dc:creator>
  <cp:keywords/>
  <dc:description/>
  <cp:lastModifiedBy>Mariano</cp:lastModifiedBy>
  <cp:revision>18</cp:revision>
  <dcterms:created xsi:type="dcterms:W3CDTF">2017-11-26T12:23:00Z</dcterms:created>
  <dcterms:modified xsi:type="dcterms:W3CDTF">2017-11-26T13:51:00Z</dcterms:modified>
</cp:coreProperties>
</file>