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38704" w14:textId="77777777" w:rsidR="00975A58" w:rsidRDefault="002F1407"/>
    <w:p w14:paraId="135F7B4C" w14:textId="77777777" w:rsidR="006400D1" w:rsidRDefault="006400D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5"/>
        <w:gridCol w:w="4051"/>
      </w:tblGrid>
      <w:tr w:rsidR="00497D7C" w14:paraId="7F82972E" w14:textId="77777777" w:rsidTr="00497D7C">
        <w:tc>
          <w:tcPr>
            <w:tcW w:w="5005" w:type="dxa"/>
          </w:tcPr>
          <w:p w14:paraId="5109DA17" w14:textId="603ABD99" w:rsidR="006400D1" w:rsidRDefault="006400D1"/>
          <w:p w14:paraId="02008923" w14:textId="77777777" w:rsidR="006400D1" w:rsidRDefault="006400D1"/>
          <w:p w14:paraId="6C67289C" w14:textId="0674447B" w:rsidR="006400D1" w:rsidRDefault="006E383C">
            <w:r>
              <w:t>Pdf</w:t>
            </w:r>
          </w:p>
          <w:p w14:paraId="781F34D5" w14:textId="77777777" w:rsidR="006E383C" w:rsidRDefault="006E383C">
            <w:r>
              <w:t>Produkty przyjazne dla osób starszych</w:t>
            </w:r>
          </w:p>
          <w:p w14:paraId="5B7F21FC" w14:textId="588A5C21" w:rsidR="006E383C" w:rsidRDefault="006E383C" w:rsidP="006E383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eastAsia="pl-PL"/>
              </w:rPr>
              <w:drawing>
                <wp:inline distT="0" distB="0" distL="0" distR="0" wp14:anchorId="1409EABD" wp14:editId="69E9D34A">
                  <wp:extent cx="1438277" cy="106934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87" cy="1075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</w:p>
          <w:p w14:paraId="6999C2F4" w14:textId="13C7EEC2" w:rsidR="006E383C" w:rsidRDefault="006E383C"/>
        </w:tc>
        <w:tc>
          <w:tcPr>
            <w:tcW w:w="4051" w:type="dxa"/>
          </w:tcPr>
          <w:p w14:paraId="09EDBF12" w14:textId="78C607D8" w:rsidR="006E383C" w:rsidRPr="006E383C" w:rsidRDefault="006E383C" w:rsidP="006E3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383C">
              <w:rPr>
                <w:rFonts w:ascii="Times New Roman" w:hAnsi="Times New Roman" w:cs="Times New Roman"/>
              </w:rPr>
              <w:t>Opracowanie pod tytułem „</w:t>
            </w:r>
            <w:r w:rsidRPr="006E383C">
              <w:rPr>
                <w:rFonts w:ascii="Times New Roman" w:hAnsi="Times New Roman" w:cs="Times New Roman"/>
              </w:rPr>
              <w:t>Produkty i usługi przyjazne dla osób starszych –</w:t>
            </w:r>
            <w:r w:rsidRPr="006E383C">
              <w:rPr>
                <w:rFonts w:ascii="MS Mincho" w:eastAsia="MS Mincho" w:hAnsi="MS Mincho" w:cs="MS Mincho"/>
              </w:rPr>
              <w:t> </w:t>
            </w:r>
            <w:r w:rsidRPr="006E383C">
              <w:rPr>
                <w:rFonts w:ascii="Times New Roman" w:hAnsi="Times New Roman" w:cs="Times New Roman"/>
              </w:rPr>
              <w:t>szansa na rozwój społeczno-gospodarczy</w:t>
            </w:r>
            <w:r w:rsidRPr="006E383C">
              <w:rPr>
                <w:rFonts w:ascii="Times New Roman" w:hAnsi="Times New Roman" w:cs="Times New Roman"/>
              </w:rPr>
              <w:t xml:space="preserve">” autorstwa </w:t>
            </w:r>
            <w:r w:rsidRPr="006E383C">
              <w:rPr>
                <w:rFonts w:ascii="Times New Roman" w:hAnsi="Times New Roman" w:cs="Times New Roman"/>
              </w:rPr>
              <w:t xml:space="preserve"> Asghar</w:t>
            </w:r>
            <w:r w:rsidRPr="006E383C">
              <w:rPr>
                <w:rFonts w:ascii="Times New Roman" w:hAnsi="Times New Roman" w:cs="Times New Roman"/>
              </w:rPr>
              <w:t>a</w:t>
            </w:r>
            <w:r w:rsidRPr="006E383C">
              <w:rPr>
                <w:rFonts w:ascii="Times New Roman" w:hAnsi="Times New Roman" w:cs="Times New Roman"/>
              </w:rPr>
              <w:t xml:space="preserve"> Zaidi</w:t>
            </w:r>
            <w:r w:rsidRPr="006E383C">
              <w:rPr>
                <w:rFonts w:ascii="Times New Roman" w:hAnsi="Times New Roman" w:cs="Times New Roman"/>
              </w:rPr>
              <w:t xml:space="preserve"> z kwietnia 2013 roku.</w:t>
            </w:r>
          </w:p>
          <w:p w14:paraId="003F3147" w14:textId="4652AA96" w:rsidR="00AE0235" w:rsidRPr="006E383C" w:rsidRDefault="006E383C" w:rsidP="006E38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383C">
              <w:rPr>
                <w:rFonts w:ascii="Times New Roman" w:hAnsi="Times New Roman" w:cs="Times New Roman"/>
              </w:rPr>
              <w:t>Materiał powstał po spotkaniu</w:t>
            </w:r>
            <w:r w:rsidR="00AE0235" w:rsidRPr="006E383C">
              <w:rPr>
                <w:rFonts w:ascii="Times New Roman" w:hAnsi="Times New Roman" w:cs="Times New Roman"/>
              </w:rPr>
              <w:t xml:space="preserve"> </w:t>
            </w:r>
            <w:r w:rsidRPr="006E383C">
              <w:rPr>
                <w:rFonts w:ascii="Times New Roman" w:hAnsi="Times New Roman" w:cs="Times New Roman"/>
              </w:rPr>
              <w:t xml:space="preserve">w Warszawie, </w:t>
            </w:r>
            <w:r w:rsidR="00AE0235" w:rsidRPr="006E383C">
              <w:rPr>
                <w:rFonts w:ascii="Times New Roman" w:hAnsi="Times New Roman" w:cs="Times New Roman"/>
              </w:rPr>
              <w:t xml:space="preserve">w ramach „wzajemnej oceny”, </w:t>
            </w:r>
            <w:r w:rsidRPr="006E383C">
              <w:rPr>
                <w:rFonts w:ascii="Times New Roman" w:hAnsi="Times New Roman" w:cs="Times New Roman"/>
              </w:rPr>
              <w:t>a</w:t>
            </w:r>
            <w:r w:rsidR="00AE0235" w:rsidRPr="006E383C">
              <w:rPr>
                <w:rFonts w:ascii="Times New Roman" w:hAnsi="Times New Roman" w:cs="Times New Roman"/>
              </w:rPr>
              <w:t xml:space="preserve"> poświę</w:t>
            </w:r>
            <w:r w:rsidRPr="006E383C">
              <w:rPr>
                <w:rFonts w:ascii="Times New Roman" w:hAnsi="Times New Roman" w:cs="Times New Roman"/>
              </w:rPr>
              <w:t>cone było</w:t>
            </w:r>
            <w:r w:rsidR="00AE0235" w:rsidRPr="006E383C">
              <w:rPr>
                <w:rFonts w:ascii="Times New Roman" w:hAnsi="Times New Roman" w:cs="Times New Roman"/>
              </w:rPr>
              <w:t xml:space="preserve"> dyskusji na temat tego, w jaki sposób zachę</w:t>
            </w:r>
            <w:r w:rsidRPr="006E383C">
              <w:rPr>
                <w:rFonts w:ascii="Times New Roman" w:hAnsi="Times New Roman" w:cs="Times New Roman"/>
              </w:rPr>
              <w:t>cać osoby starsze</w:t>
            </w:r>
            <w:r w:rsidR="00AE0235" w:rsidRPr="006E383C">
              <w:rPr>
                <w:rFonts w:ascii="Times New Roman" w:hAnsi="Times New Roman" w:cs="Times New Roman"/>
              </w:rPr>
              <w:t xml:space="preserve"> do aktywności społ</w:t>
            </w:r>
            <w:r w:rsidRPr="006E383C">
              <w:rPr>
                <w:rFonts w:ascii="Times New Roman" w:hAnsi="Times New Roman" w:cs="Times New Roman"/>
              </w:rPr>
              <w:t>ecznej, rozwijać produkty</w:t>
            </w:r>
            <w:r w:rsidR="00AE0235" w:rsidRPr="006E383C">
              <w:rPr>
                <w:rFonts w:ascii="Times New Roman" w:hAnsi="Times New Roman" w:cs="Times New Roman"/>
              </w:rPr>
              <w:t xml:space="preserve"> i usług</w:t>
            </w:r>
            <w:r w:rsidRPr="006E383C">
              <w:rPr>
                <w:rFonts w:ascii="Times New Roman" w:hAnsi="Times New Roman" w:cs="Times New Roman"/>
              </w:rPr>
              <w:t>i dostosowane</w:t>
            </w:r>
            <w:r w:rsidR="00AE0235" w:rsidRPr="006E383C">
              <w:rPr>
                <w:rFonts w:ascii="Times New Roman" w:hAnsi="Times New Roman" w:cs="Times New Roman"/>
              </w:rPr>
              <w:t xml:space="preserve"> do</w:t>
            </w:r>
            <w:r w:rsidRPr="006E383C">
              <w:rPr>
                <w:rFonts w:ascii="Times New Roman" w:hAnsi="Times New Roman" w:cs="Times New Roman"/>
              </w:rPr>
              <w:t xml:space="preserve"> ich potrzeb oraz wspierać</w:t>
            </w:r>
            <w:r w:rsidR="00AE0235" w:rsidRPr="006E383C">
              <w:rPr>
                <w:rFonts w:ascii="Times New Roman" w:hAnsi="Times New Roman" w:cs="Times New Roman"/>
              </w:rPr>
              <w:t xml:space="preserve"> ich </w:t>
            </w:r>
            <w:r w:rsidRPr="006E383C">
              <w:rPr>
                <w:rFonts w:ascii="Times New Roman" w:hAnsi="Times New Roman" w:cs="Times New Roman"/>
              </w:rPr>
              <w:t xml:space="preserve">aktywność na rynku pracy. Autor dowodzi, że paleta różnorodnych działań </w:t>
            </w:r>
            <w:r w:rsidR="00AE0235" w:rsidRPr="006E383C">
              <w:rPr>
                <w:rFonts w:ascii="Times New Roman" w:hAnsi="Times New Roman" w:cs="Times New Roman"/>
              </w:rPr>
              <w:t xml:space="preserve">może podnieść jakość życia tych osób (perspektywa </w:t>
            </w:r>
            <w:r w:rsidR="00AE0235" w:rsidRPr="006E383C">
              <w:rPr>
                <w:rFonts w:ascii="Times New Roman" w:hAnsi="Times New Roman" w:cs="Times New Roman"/>
                <w:i/>
                <w:iCs/>
              </w:rPr>
              <w:t>mikro</w:t>
            </w:r>
            <w:r w:rsidR="00AE0235" w:rsidRPr="006E383C">
              <w:rPr>
                <w:rFonts w:ascii="Times New Roman" w:hAnsi="Times New Roman" w:cs="Times New Roman"/>
              </w:rPr>
              <w:t xml:space="preserve">) i stworzyć możliwości społeczno-gospodarczego rozwoju państwa (perspektywa </w:t>
            </w:r>
            <w:r w:rsidR="00AE0235" w:rsidRPr="006E383C">
              <w:rPr>
                <w:rFonts w:ascii="Times New Roman" w:hAnsi="Times New Roman" w:cs="Times New Roman"/>
                <w:i/>
                <w:iCs/>
              </w:rPr>
              <w:t>makro</w:t>
            </w:r>
            <w:r w:rsidR="00AE0235" w:rsidRPr="006E383C">
              <w:rPr>
                <w:rFonts w:ascii="Times New Roman" w:hAnsi="Times New Roman" w:cs="Times New Roman"/>
              </w:rPr>
              <w:t xml:space="preserve">). </w:t>
            </w:r>
            <w:r w:rsidRPr="006E383C">
              <w:rPr>
                <w:rFonts w:ascii="Times New Roman" w:hAnsi="Times New Roman" w:cs="Times New Roman"/>
              </w:rPr>
              <w:t>Temu poświęcione jest opracowanie.</w:t>
            </w:r>
          </w:p>
          <w:p w14:paraId="4AD8F02C" w14:textId="77777777" w:rsidR="006400D1" w:rsidRDefault="006400D1"/>
        </w:tc>
      </w:tr>
      <w:tr w:rsidR="00497D7C" w14:paraId="3FD39CA1" w14:textId="77777777" w:rsidTr="00497D7C">
        <w:tc>
          <w:tcPr>
            <w:tcW w:w="5005" w:type="dxa"/>
          </w:tcPr>
          <w:p w14:paraId="4FEEBFB0" w14:textId="77777777" w:rsidR="006400D1" w:rsidRDefault="006400D1"/>
          <w:p w14:paraId="153CA612" w14:textId="311D7BD9" w:rsidR="006400D1" w:rsidRDefault="0057143D">
            <w:r>
              <w:t>Pdf programy dla osób 50+ 2004-2009</w:t>
            </w:r>
          </w:p>
          <w:p w14:paraId="52BBBFED" w14:textId="771803DB" w:rsidR="006400D1" w:rsidRDefault="00497D7C">
            <w:r w:rsidRPr="00497D7C">
              <w:drawing>
                <wp:inline distT="0" distB="0" distL="0" distR="0" wp14:anchorId="6F58E935" wp14:editId="5E03CD89">
                  <wp:extent cx="2882265" cy="1616621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449" cy="163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14:paraId="07BEDA91" w14:textId="018DF9E1" w:rsidR="006400D1" w:rsidRPr="0057143D" w:rsidRDefault="0057143D" w:rsidP="005714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7143D">
              <w:rPr>
                <w:rFonts w:ascii="Times New Roman" w:hAnsi="Times New Roman" w:cs="Times New Roman"/>
              </w:rPr>
              <w:t>ublikacja stanowi raport końcowy z badań nad programami adresowanymi do osób w wieku 50+, zrealizowanymi w Polsce w latach 2004–2009</w:t>
            </w:r>
            <w:r>
              <w:rPr>
                <w:rFonts w:ascii="Times New Roman" w:hAnsi="Times New Roman" w:cs="Times New Roman"/>
              </w:rPr>
              <w:t>. Badania przeprowa</w:t>
            </w:r>
            <w:r w:rsidRPr="0057143D">
              <w:rPr>
                <w:rFonts w:ascii="Times New Roman" w:hAnsi="Times New Roman" w:cs="Times New Roman"/>
              </w:rPr>
              <w:t>dzone zostały przez Uniwersytet Łódzki</w:t>
            </w:r>
            <w:r>
              <w:rPr>
                <w:rFonts w:ascii="Times New Roman" w:hAnsi="Times New Roman" w:cs="Times New Roman"/>
              </w:rPr>
              <w:t xml:space="preserve"> w projekcie systemowym „</w:t>
            </w:r>
            <w:r w:rsidRPr="0057143D">
              <w:rPr>
                <w:rFonts w:ascii="Times New Roman" w:hAnsi="Times New Roman" w:cs="Times New Roman"/>
              </w:rPr>
              <w:t>Wyrównywanie szans na rynku pracy dla osób 50+</w:t>
            </w:r>
            <w:r>
              <w:rPr>
                <w:rFonts w:ascii="Times New Roman" w:hAnsi="Times New Roman" w:cs="Times New Roman"/>
              </w:rPr>
              <w:t xml:space="preserve">”. </w:t>
            </w:r>
            <w:r w:rsidR="006E383C" w:rsidRPr="0057143D">
              <w:rPr>
                <w:rFonts w:ascii="Times New Roman" w:hAnsi="Times New Roman" w:cs="Times New Roman"/>
              </w:rPr>
              <w:t xml:space="preserve">Celem głównym projektu </w:t>
            </w:r>
            <w:r>
              <w:rPr>
                <w:rFonts w:ascii="Times New Roman" w:hAnsi="Times New Roman" w:cs="Times New Roman"/>
              </w:rPr>
              <w:t>była promocja ak</w:t>
            </w:r>
            <w:r w:rsidR="006E383C" w:rsidRPr="0057143D">
              <w:rPr>
                <w:rFonts w:ascii="Times New Roman" w:hAnsi="Times New Roman" w:cs="Times New Roman"/>
              </w:rPr>
              <w:t xml:space="preserve">tywności zawodowej kobiet i mężczyzn w wieku 50+ oraz promocja działań na rzecz wydłużenia aktywności zawodowej osób w tym wieku. </w:t>
            </w:r>
            <w:r w:rsidR="007E0F2C">
              <w:rPr>
                <w:rFonts w:ascii="Times New Roman" w:hAnsi="Times New Roman" w:cs="Times New Roman"/>
              </w:rPr>
              <w:t>Pakiet materiałów na stronę</w:t>
            </w:r>
          </w:p>
        </w:tc>
      </w:tr>
      <w:tr w:rsidR="00497D7C" w14:paraId="549F9482" w14:textId="77777777" w:rsidTr="00497D7C">
        <w:tc>
          <w:tcPr>
            <w:tcW w:w="5005" w:type="dxa"/>
          </w:tcPr>
          <w:p w14:paraId="342CAFEB" w14:textId="77777777" w:rsidR="006400D1" w:rsidRDefault="006400D1"/>
          <w:p w14:paraId="3165A5A3" w14:textId="77777777" w:rsidR="006400D1" w:rsidRDefault="006400D1"/>
          <w:p w14:paraId="64F5B77B" w14:textId="5593BF88" w:rsidR="006400D1" w:rsidRDefault="00E03C2B">
            <w:r>
              <w:t>P</w:t>
            </w:r>
            <w:r w:rsidR="007E0F2C">
              <w:t>df</w:t>
            </w:r>
          </w:p>
          <w:p w14:paraId="52F0F9C7" w14:textId="77777777" w:rsidR="00E03C2B" w:rsidRDefault="00E03C2B">
            <w:r>
              <w:t>Rozwiązania sprzyjające aktywnemu starzeniu się</w:t>
            </w:r>
          </w:p>
          <w:p w14:paraId="06DB1B0A" w14:textId="77777777" w:rsidR="00497D7C" w:rsidRDefault="00497D7C"/>
          <w:p w14:paraId="1EA8F9B8" w14:textId="77777777" w:rsidR="00497D7C" w:rsidRDefault="00497D7C"/>
          <w:p w14:paraId="5380CC54" w14:textId="37EF871A" w:rsidR="00497D7C" w:rsidRDefault="00497D7C">
            <w:r w:rsidRPr="00497D7C">
              <w:lastRenderedPageBreak/>
              <w:drawing>
                <wp:inline distT="0" distB="0" distL="0" distR="0" wp14:anchorId="7B1ECBA1" wp14:editId="006EAAFC">
                  <wp:extent cx="2959735" cy="1930400"/>
                  <wp:effectExtent l="0" t="0" r="1206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735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01AD5" w14:textId="26977161" w:rsidR="00497D7C" w:rsidRDefault="00497D7C"/>
        </w:tc>
        <w:tc>
          <w:tcPr>
            <w:tcW w:w="4051" w:type="dxa"/>
          </w:tcPr>
          <w:p w14:paraId="6A623531" w14:textId="6F835C96" w:rsidR="006400D1" w:rsidRPr="00C64B31" w:rsidRDefault="007E0F2C" w:rsidP="00C64B31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 w:rsidRPr="007E0F2C">
              <w:rPr>
                <w:rFonts w:ascii="Times New Roman" w:hAnsi="Times New Roman" w:cs="Times New Roman"/>
              </w:rPr>
              <w:lastRenderedPageBreak/>
              <w:t xml:space="preserve">Publikacja stanowi raport końcowy z </w:t>
            </w:r>
            <w:r w:rsidRPr="007E0F2C">
              <w:rPr>
                <w:rFonts w:ascii="Times New Roman" w:hAnsi="Times New Roman" w:cs="Times New Roman"/>
              </w:rPr>
              <w:t>badań zrealizowanych</w:t>
            </w:r>
            <w:r w:rsidRPr="007E0F2C">
              <w:rPr>
                <w:rFonts w:ascii="Times New Roman" w:hAnsi="Times New Roman" w:cs="Times New Roman"/>
              </w:rPr>
              <w:t xml:space="preserve"> przez Uniwersytet Łódzki w projekcie systemowym „Wyrównywanie szans na rynku pracy dla osób 50+”. </w:t>
            </w:r>
            <w:r w:rsidRPr="007E0F2C">
              <w:rPr>
                <w:rFonts w:ascii="Times" w:hAnsi="Times" w:cs="Times"/>
              </w:rPr>
              <w:t>R</w:t>
            </w:r>
            <w:r w:rsidRPr="007E0F2C">
              <w:rPr>
                <w:rFonts w:ascii="Times" w:hAnsi="Times" w:cs="Times"/>
              </w:rPr>
              <w:t xml:space="preserve">aport pt. </w:t>
            </w:r>
            <w:r w:rsidRPr="007E0F2C">
              <w:rPr>
                <w:rFonts w:ascii="Times" w:hAnsi="Times" w:cs="Times"/>
                <w:i/>
                <w:iCs/>
              </w:rPr>
              <w:t>Rozwiązania sprzyjające aktywnemu starzeniu się w wybranych krajach Unii Europejskiej. Raport końcowy</w:t>
            </w:r>
            <w:r w:rsidRPr="007E0F2C">
              <w:rPr>
                <w:rFonts w:ascii="Times" w:hAnsi="Times" w:cs="Times"/>
              </w:rPr>
              <w:t xml:space="preserve">, </w:t>
            </w:r>
            <w:r>
              <w:rPr>
                <w:rFonts w:ascii="Times" w:hAnsi="Times" w:cs="Times"/>
              </w:rPr>
              <w:t xml:space="preserve">zawiera przegląd zidentyfikowanych </w:t>
            </w:r>
            <w:r w:rsidR="00C64B31">
              <w:rPr>
                <w:rFonts w:ascii="Times" w:hAnsi="Times" w:cs="Times"/>
              </w:rPr>
              <w:t xml:space="preserve">w Europie </w:t>
            </w:r>
            <w:r w:rsidR="00C64B31" w:rsidRPr="007E0F2C">
              <w:rPr>
                <w:rFonts w:ascii="Times" w:hAnsi="Times" w:cs="Times"/>
              </w:rPr>
              <w:t>instrument</w:t>
            </w:r>
            <w:r w:rsidR="00C64B31">
              <w:rPr>
                <w:rFonts w:ascii="Times" w:hAnsi="Times" w:cs="Times"/>
              </w:rPr>
              <w:t>ów wspierania aktywnego starze</w:t>
            </w:r>
            <w:r w:rsidR="00C64B31" w:rsidRPr="007E0F2C">
              <w:rPr>
                <w:rFonts w:ascii="Times" w:hAnsi="Times" w:cs="Times"/>
              </w:rPr>
              <w:t>nia się</w:t>
            </w:r>
            <w:r w:rsidR="00C64B31">
              <w:rPr>
                <w:rFonts w:ascii="Times" w:hAnsi="Times" w:cs="Times"/>
              </w:rPr>
              <w:t xml:space="preserve"> </w:t>
            </w:r>
            <w:r w:rsidR="00C64B31" w:rsidRPr="007E0F2C">
              <w:rPr>
                <w:rFonts w:ascii="Times" w:hAnsi="Times" w:cs="Times"/>
              </w:rPr>
              <w:t>stosowanych</w:t>
            </w:r>
            <w:r w:rsidR="00C64B31" w:rsidRPr="007E0F2C">
              <w:rPr>
                <w:rFonts w:ascii="Times" w:hAnsi="Times" w:cs="Times"/>
              </w:rPr>
              <w:t xml:space="preserve"> </w:t>
            </w:r>
            <w:r w:rsidR="00C64B31" w:rsidRPr="007E0F2C">
              <w:rPr>
                <w:rFonts w:ascii="Times" w:hAnsi="Times" w:cs="Times"/>
              </w:rPr>
              <w:t xml:space="preserve">przede wszystkim w sferze aktywności </w:t>
            </w:r>
            <w:r w:rsidR="00C64B31" w:rsidRPr="007E0F2C">
              <w:rPr>
                <w:rFonts w:ascii="Times" w:hAnsi="Times" w:cs="Times"/>
              </w:rPr>
              <w:lastRenderedPageBreak/>
              <w:t>zawodowej</w:t>
            </w:r>
            <w:r w:rsidR="00C64B31">
              <w:rPr>
                <w:rFonts w:ascii="Times" w:hAnsi="Times" w:cs="Times"/>
              </w:rPr>
              <w:t>. P</w:t>
            </w:r>
            <w:r w:rsidRPr="007E0F2C">
              <w:rPr>
                <w:rFonts w:ascii="Times" w:hAnsi="Times" w:cs="Times"/>
              </w:rPr>
              <w:t>race badawcze koncentrowały się na poszukiwaniu w dobranych celowo krajach UE, tj. w Danii, Szwecji, Holandii, Wielkiej Brytanii, Hiszpanii, Czechach, Bułgarii, Rumunii, na Cyprze i we Włoszech</w:t>
            </w:r>
            <w:r w:rsidR="00C64B31">
              <w:rPr>
                <w:rFonts w:ascii="Times" w:hAnsi="Times" w:cs="Times"/>
              </w:rPr>
              <w:t xml:space="preserve"> najlepszych praktyk.</w:t>
            </w:r>
            <w:r w:rsidRPr="007E0F2C">
              <w:rPr>
                <w:rFonts w:ascii="Times" w:hAnsi="Times" w:cs="Times"/>
              </w:rPr>
              <w:t xml:space="preserve"> </w:t>
            </w:r>
            <w:r w:rsidR="00C64B31">
              <w:rPr>
                <w:rFonts w:ascii="Times" w:hAnsi="Times" w:cs="Times"/>
              </w:rPr>
              <w:t>B</w:t>
            </w:r>
            <w:r w:rsidRPr="007E0F2C">
              <w:rPr>
                <w:rFonts w:ascii="Times" w:hAnsi="Times" w:cs="Times"/>
              </w:rPr>
              <w:t>yła</w:t>
            </w:r>
            <w:r w:rsidR="00C64B31">
              <w:rPr>
                <w:rFonts w:ascii="Times" w:hAnsi="Times" w:cs="Times"/>
              </w:rPr>
              <w:t xml:space="preserve"> to</w:t>
            </w:r>
            <w:r w:rsidRPr="007E0F2C">
              <w:rPr>
                <w:rFonts w:ascii="Times" w:hAnsi="Times" w:cs="Times"/>
              </w:rPr>
              <w:t xml:space="preserve"> identyfikacja, analiza i ocena pod kątem możliwości wdrożenia w polskich warunkach projektów i innych inicjatyw realizo</w:t>
            </w:r>
            <w:r w:rsidR="00C64B31">
              <w:rPr>
                <w:rFonts w:ascii="Times" w:hAnsi="Times" w:cs="Times"/>
              </w:rPr>
              <w:t>wanych na szczeblu makro, mezo i mikro.</w:t>
            </w:r>
          </w:p>
        </w:tc>
      </w:tr>
      <w:tr w:rsidR="00497D7C" w14:paraId="312FA88C" w14:textId="77777777" w:rsidTr="00497D7C">
        <w:tc>
          <w:tcPr>
            <w:tcW w:w="5005" w:type="dxa"/>
          </w:tcPr>
          <w:p w14:paraId="091114CC" w14:textId="12EEC13E" w:rsidR="006400D1" w:rsidRDefault="007E0F2C">
            <w:r>
              <w:lastRenderedPageBreak/>
              <w:t>pdf</w:t>
            </w:r>
          </w:p>
          <w:p w14:paraId="6F579A37" w14:textId="5D8225EC" w:rsidR="006400D1" w:rsidRDefault="00E03C2B">
            <w:r>
              <w:t>katalog dobrych praktyk aktywne starzenie sie</w:t>
            </w:r>
          </w:p>
          <w:p w14:paraId="0EC43475" w14:textId="77777777" w:rsidR="006400D1" w:rsidRDefault="006400D1"/>
        </w:tc>
        <w:tc>
          <w:tcPr>
            <w:tcW w:w="4051" w:type="dxa"/>
          </w:tcPr>
          <w:p w14:paraId="181D2561" w14:textId="03303A24" w:rsidR="006400D1" w:rsidRDefault="007E0F2C" w:rsidP="00274D84">
            <w:r>
              <w:rPr>
                <w:rFonts w:ascii="Times New Roman" w:hAnsi="Times New Roman" w:cs="Times New Roman"/>
              </w:rPr>
              <w:t>P</w:t>
            </w:r>
            <w:r w:rsidRPr="0057143D">
              <w:rPr>
                <w:rFonts w:ascii="Times New Roman" w:hAnsi="Times New Roman" w:cs="Times New Roman"/>
              </w:rPr>
              <w:t xml:space="preserve">ublikacja </w:t>
            </w:r>
            <w:r w:rsidR="00274D84">
              <w:rPr>
                <w:rFonts w:ascii="Times" w:hAnsi="Times" w:cs="Times"/>
                <w:i/>
                <w:iCs/>
                <w:sz w:val="26"/>
                <w:szCs w:val="26"/>
              </w:rPr>
              <w:t>Katalog dobrych praktyk w zakresie aktywnego starzenia się w wybranych krajach Unii Europejskiej</w:t>
            </w:r>
            <w:r w:rsidR="00274D84"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Pr="0057143D">
              <w:rPr>
                <w:rFonts w:ascii="Times New Roman" w:hAnsi="Times New Roman" w:cs="Times New Roman"/>
              </w:rPr>
              <w:t>stanowi</w:t>
            </w:r>
            <w:r w:rsidR="00274D84">
              <w:rPr>
                <w:rFonts w:ascii="Times" w:hAnsi="Times" w:cs="Times"/>
                <w:sz w:val="26"/>
                <w:szCs w:val="26"/>
              </w:rPr>
              <w:t xml:space="preserve"> </w:t>
            </w:r>
            <w:r>
              <w:rPr>
                <w:rFonts w:ascii="Times" w:hAnsi="Times" w:cs="Times"/>
                <w:sz w:val="26"/>
                <w:szCs w:val="26"/>
              </w:rPr>
              <w:t>integr</w:t>
            </w:r>
            <w:r w:rsidR="00274D84">
              <w:rPr>
                <w:rFonts w:ascii="Times" w:hAnsi="Times" w:cs="Times"/>
                <w:sz w:val="26"/>
                <w:szCs w:val="26"/>
              </w:rPr>
              <w:t>alną część raportu.</w:t>
            </w:r>
          </w:p>
        </w:tc>
      </w:tr>
      <w:tr w:rsidR="00497D7C" w14:paraId="6FE422E0" w14:textId="77777777" w:rsidTr="00497D7C">
        <w:tc>
          <w:tcPr>
            <w:tcW w:w="5005" w:type="dxa"/>
          </w:tcPr>
          <w:p w14:paraId="0C61C014" w14:textId="7B63E9FA" w:rsidR="006400D1" w:rsidRDefault="00E03C2B">
            <w:r>
              <w:t>Pdf Diagnoza kobiet i mężczyzn</w:t>
            </w:r>
          </w:p>
          <w:p w14:paraId="1D12821B" w14:textId="77777777" w:rsidR="006400D1" w:rsidRDefault="006400D1"/>
          <w:p w14:paraId="6A15FA2E" w14:textId="1AE55BB3" w:rsidR="006400D1" w:rsidRDefault="00497D7C">
            <w:r w:rsidRPr="00497D7C">
              <w:drawing>
                <wp:inline distT="0" distB="0" distL="0" distR="0" wp14:anchorId="6BFBA41D" wp14:editId="2FD3CE51">
                  <wp:extent cx="2767965" cy="1552512"/>
                  <wp:effectExtent l="0" t="0" r="63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021" cy="156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14:paraId="682BB5A3" w14:textId="5C57F97C" w:rsidR="006400D1" w:rsidRDefault="00E03C2B" w:rsidP="002F1407">
            <w:r w:rsidRPr="007E0F2C">
              <w:rPr>
                <w:rFonts w:ascii="Times New Roman" w:hAnsi="Times New Roman" w:cs="Times New Roman"/>
              </w:rPr>
              <w:t xml:space="preserve">Publikacja stanowi </w:t>
            </w:r>
            <w:r w:rsidR="00171D95">
              <w:rPr>
                <w:rFonts w:ascii="Times New Roman" w:hAnsi="Times New Roman" w:cs="Times New Roman"/>
              </w:rPr>
              <w:t>jeden raportów projektu</w:t>
            </w:r>
            <w:r w:rsidRPr="007E0F2C">
              <w:rPr>
                <w:rFonts w:ascii="Times New Roman" w:hAnsi="Times New Roman" w:cs="Times New Roman"/>
              </w:rPr>
              <w:t xml:space="preserve"> „Wyrównywanie szans na rynku pracy dla osób 50+”.</w:t>
            </w:r>
            <w:r w:rsidR="00171D95">
              <w:rPr>
                <w:rFonts w:ascii="Times New Roman" w:hAnsi="Times New Roman" w:cs="Times New Roman"/>
              </w:rPr>
              <w:t xml:space="preserve"> Zawiera opartą na reprezentatywnych badaniach kobiet i mężczyzn w wieku powyżej </w:t>
            </w:r>
            <w:r w:rsidR="002F1407">
              <w:rPr>
                <w:rFonts w:ascii="Times New Roman" w:hAnsi="Times New Roman" w:cs="Times New Roman"/>
              </w:rPr>
              <w:t>45</w:t>
            </w:r>
            <w:r w:rsidR="00171D95">
              <w:rPr>
                <w:rFonts w:ascii="Times New Roman" w:hAnsi="Times New Roman" w:cs="Times New Roman"/>
              </w:rPr>
              <w:t xml:space="preserve"> roku życia kompleksową diagnozę. Badania </w:t>
            </w:r>
            <w:r w:rsidR="002F1407">
              <w:rPr>
                <w:rFonts w:ascii="Times New Roman" w:hAnsi="Times New Roman" w:cs="Times New Roman"/>
              </w:rPr>
              <w:t xml:space="preserve">dojrzałych </w:t>
            </w:r>
            <w:r w:rsidR="00171D95">
              <w:rPr>
                <w:rFonts w:ascii="Times New Roman" w:hAnsi="Times New Roman" w:cs="Times New Roman"/>
              </w:rPr>
              <w:t>Polaków i Polek</w:t>
            </w:r>
            <w:r w:rsidR="002F1407">
              <w:rPr>
                <w:rFonts w:ascii="Times New Roman" w:hAnsi="Times New Roman" w:cs="Times New Roman"/>
              </w:rPr>
              <w:t xml:space="preserve"> </w:t>
            </w:r>
            <w:r w:rsidR="00171D95">
              <w:rPr>
                <w:rFonts w:ascii="Times New Roman" w:hAnsi="Times New Roman" w:cs="Times New Roman"/>
              </w:rPr>
              <w:t>zostały uzupełnione o opinie różnorodnych interesariuszy</w:t>
            </w:r>
            <w:r w:rsidR="002F1407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497D7C" w14:paraId="2FE74279" w14:textId="77777777" w:rsidTr="00497D7C">
        <w:tc>
          <w:tcPr>
            <w:tcW w:w="5005" w:type="dxa"/>
          </w:tcPr>
          <w:p w14:paraId="1E1AE476" w14:textId="77777777" w:rsidR="006400D1" w:rsidRDefault="006400D1"/>
          <w:p w14:paraId="08BB4ABA" w14:textId="6E5EC49A" w:rsidR="006400D1" w:rsidRDefault="00171D95">
            <w:r>
              <w:t>Pdf Diagnoza 50+ aneks metodologiczny</w:t>
            </w:r>
          </w:p>
          <w:p w14:paraId="142E7C78" w14:textId="77777777" w:rsidR="006400D1" w:rsidRDefault="006400D1"/>
        </w:tc>
        <w:tc>
          <w:tcPr>
            <w:tcW w:w="4051" w:type="dxa"/>
          </w:tcPr>
          <w:p w14:paraId="5669B23A" w14:textId="114DD486" w:rsidR="006400D1" w:rsidRPr="002F1407" w:rsidRDefault="00171D95" w:rsidP="00171D95">
            <w:pPr>
              <w:rPr>
                <w:rFonts w:ascii="Times New Roman" w:hAnsi="Times New Roman" w:cs="Times New Roman"/>
              </w:rPr>
            </w:pPr>
            <w:r w:rsidRPr="007E0F2C">
              <w:rPr>
                <w:rFonts w:ascii="Times New Roman" w:hAnsi="Times New Roman" w:cs="Times New Roman"/>
              </w:rPr>
              <w:t xml:space="preserve">Publikacja stanowi </w:t>
            </w:r>
            <w:r>
              <w:rPr>
                <w:rFonts w:ascii="Times New Roman" w:hAnsi="Times New Roman" w:cs="Times New Roman"/>
              </w:rPr>
              <w:t>aneks metodologiczny zaprezentowanego w Diagnozie szerokozakrojonego badania.</w:t>
            </w:r>
            <w:r w:rsidR="002F1407">
              <w:rPr>
                <w:rFonts w:ascii="Times New Roman" w:hAnsi="Times New Roman" w:cs="Times New Roman"/>
              </w:rPr>
              <w:t xml:space="preserve"> </w:t>
            </w:r>
            <w:r w:rsidR="002F1407" w:rsidRPr="002F1407">
              <w:rPr>
                <w:rFonts w:ascii="Times New Roman" w:hAnsi="Times New Roman" w:cs="Times New Roman"/>
              </w:rPr>
              <w:t>Badanie to koncentrowało się na zagadnieniach związanych z sytuacją zawodową osób w wieku 45+, badaniem objęto także pracodawców, powiatowe urzędy pracy, agencje zatrudnienia, instytucje szkoleniowe, jednostki pomocy społecznej i organizacje pozarządowe.</w:t>
            </w:r>
          </w:p>
        </w:tc>
      </w:tr>
      <w:tr w:rsidR="00497D7C" w14:paraId="50EE5AC7" w14:textId="77777777" w:rsidTr="00497D7C">
        <w:tc>
          <w:tcPr>
            <w:tcW w:w="5005" w:type="dxa"/>
          </w:tcPr>
          <w:p w14:paraId="55EDE8E8" w14:textId="77777777" w:rsidR="006400D1" w:rsidRDefault="006400D1"/>
          <w:p w14:paraId="440700DA" w14:textId="77777777" w:rsidR="006400D1" w:rsidRDefault="006400D1" w:rsidP="00171D95"/>
        </w:tc>
        <w:tc>
          <w:tcPr>
            <w:tcW w:w="4051" w:type="dxa"/>
          </w:tcPr>
          <w:p w14:paraId="5BB885B5" w14:textId="22765783" w:rsidR="006400D1" w:rsidRDefault="006400D1"/>
        </w:tc>
      </w:tr>
      <w:tr w:rsidR="00497D7C" w14:paraId="2A571797" w14:textId="77777777" w:rsidTr="00497D7C">
        <w:tc>
          <w:tcPr>
            <w:tcW w:w="5005" w:type="dxa"/>
          </w:tcPr>
          <w:p w14:paraId="631D5EF4" w14:textId="77777777" w:rsidR="006400D1" w:rsidRDefault="006400D1"/>
          <w:p w14:paraId="78D0AE99" w14:textId="77777777" w:rsidR="006400D1" w:rsidRDefault="006400D1"/>
          <w:p w14:paraId="78C71C5D" w14:textId="77777777" w:rsidR="006400D1" w:rsidRDefault="006400D1"/>
        </w:tc>
        <w:tc>
          <w:tcPr>
            <w:tcW w:w="4051" w:type="dxa"/>
          </w:tcPr>
          <w:p w14:paraId="09981480" w14:textId="77777777" w:rsidR="006400D1" w:rsidRDefault="006400D1"/>
        </w:tc>
      </w:tr>
    </w:tbl>
    <w:p w14:paraId="6A30D252" w14:textId="77777777" w:rsidR="006400D1" w:rsidRDefault="006400D1"/>
    <w:sectPr w:rsidR="006400D1" w:rsidSect="00D22D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D1"/>
    <w:rsid w:val="00171D95"/>
    <w:rsid w:val="00274D84"/>
    <w:rsid w:val="002F1407"/>
    <w:rsid w:val="00497D7C"/>
    <w:rsid w:val="0057143D"/>
    <w:rsid w:val="006400D1"/>
    <w:rsid w:val="006E383C"/>
    <w:rsid w:val="007E0F2C"/>
    <w:rsid w:val="00AE0235"/>
    <w:rsid w:val="00C64B31"/>
    <w:rsid w:val="00D22D12"/>
    <w:rsid w:val="00E03C2B"/>
    <w:rsid w:val="00F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787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tiff"/><Relationship Id="rId6" Type="http://schemas.openxmlformats.org/officeDocument/2006/relationships/image" Target="media/image3.tiff"/><Relationship Id="rId7" Type="http://schemas.openxmlformats.org/officeDocument/2006/relationships/image" Target="media/image4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435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Warwas</dc:creator>
  <cp:keywords/>
  <dc:description/>
  <cp:lastModifiedBy>Izabela Warwas</cp:lastModifiedBy>
  <cp:revision>6</cp:revision>
  <dcterms:created xsi:type="dcterms:W3CDTF">2017-11-29T07:32:00Z</dcterms:created>
  <dcterms:modified xsi:type="dcterms:W3CDTF">2017-11-29T08:34:00Z</dcterms:modified>
</cp:coreProperties>
</file>