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6296" w14:textId="37209ECB" w:rsidR="00A27977" w:rsidRPr="00333607" w:rsidRDefault="000A7862">
      <w:pPr>
        <w:rPr>
          <w:b/>
          <w:i/>
        </w:rPr>
      </w:pPr>
      <w:r>
        <w:rPr>
          <w:b/>
        </w:rPr>
        <w:t>Proposed Data Analysis protocol</w:t>
      </w:r>
    </w:p>
    <w:p w14:paraId="4395D918" w14:textId="1A6E0D53" w:rsidR="000A7862" w:rsidRDefault="000A7862">
      <w:r>
        <w:t xml:space="preserve">This is </w:t>
      </w:r>
      <w:r w:rsidR="00E67212">
        <w:t>a briefing on r</w:t>
      </w:r>
      <w:r w:rsidR="007D115B">
        <w:t>ecommended approach to data analysis of the workshop discussion groups. The overall approach will be that national research teams will be responsible for data analysis of their own material while</w:t>
      </w:r>
      <w:r w:rsidR="00333607">
        <w:t xml:space="preserve"> keeping in close communications within the overall group to ensure consistency in approach.</w:t>
      </w:r>
    </w:p>
    <w:p w14:paraId="0B01F01D" w14:textId="3F778491" w:rsidR="00333607" w:rsidRPr="00333607" w:rsidRDefault="00333607">
      <w:r>
        <w:t xml:space="preserve">This paper is meant as a </w:t>
      </w:r>
      <w:r>
        <w:rPr>
          <w:b/>
          <w:i/>
        </w:rPr>
        <w:t xml:space="preserve">discussion document </w:t>
      </w:r>
      <w:r>
        <w:t>and I propose that we have this document as a point of discussion with the aim of amending the document based on consultation.</w:t>
      </w:r>
    </w:p>
    <w:p w14:paraId="536B242D" w14:textId="62B92C16" w:rsidR="007D115B" w:rsidRDefault="00333607">
      <w:pPr>
        <w:rPr>
          <w:b/>
        </w:rPr>
      </w:pPr>
      <w:r>
        <w:rPr>
          <w:b/>
        </w:rPr>
        <w:t>Work time</w:t>
      </w:r>
    </w:p>
    <w:p w14:paraId="74DD311D" w14:textId="4E7A0C36" w:rsidR="00333607" w:rsidRDefault="00F27354">
      <w:r>
        <w:t xml:space="preserve">Each national team is given </w:t>
      </w:r>
      <w:proofErr w:type="gramStart"/>
      <w:r>
        <w:t xml:space="preserve">10 </w:t>
      </w:r>
      <w:r w:rsidR="00C40F8B">
        <w:t>person</w:t>
      </w:r>
      <w:proofErr w:type="gramEnd"/>
      <w:r w:rsidR="00C40F8B">
        <w:t xml:space="preserve"> days</w:t>
      </w:r>
      <w:r w:rsidR="00917781">
        <w:t xml:space="preserve"> (PD)</w:t>
      </w:r>
      <w:r w:rsidR="00C40F8B">
        <w:t xml:space="preserve"> for thematic analysis of their own individual transcriptions. </w:t>
      </w:r>
      <w:r w:rsidR="00213192">
        <w:t>M</w:t>
      </w:r>
      <w:r w:rsidR="00334DA8">
        <w:t xml:space="preserve">ost of the </w:t>
      </w:r>
      <w:r w:rsidR="00917781">
        <w:t>PD for the overall report</w:t>
      </w:r>
      <w:r w:rsidR="00CB1D38">
        <w:t xml:space="preserve"> is with Chris (</w:t>
      </w:r>
      <w:r w:rsidR="00637D72">
        <w:t xml:space="preserve">89 days).  However, there is </w:t>
      </w:r>
      <w:r w:rsidR="00E7267B">
        <w:t xml:space="preserve">a surplus of </w:t>
      </w:r>
      <w:r w:rsidR="00477163">
        <w:t xml:space="preserve">PDs from WP5 given to both Adapt and Granada for WP lead </w:t>
      </w:r>
      <w:r w:rsidR="00054A82">
        <w:t>which was (as agreed at Bergamo)</w:t>
      </w:r>
      <w:r w:rsidR="002C5934">
        <w:t xml:space="preserve"> </w:t>
      </w:r>
      <w:r w:rsidR="00A74E2E">
        <w:t>of 20 days and 8 days respectively which would be used for WP</w:t>
      </w:r>
      <w:r w:rsidR="00E93E57">
        <w:t>6.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708"/>
        <w:gridCol w:w="852"/>
      </w:tblGrid>
      <w:tr w:rsidR="00B35A1F" w:rsidRPr="00AC5789" w14:paraId="73B53D6F" w14:textId="77777777" w:rsidTr="00AC5789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EACFE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7F630B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UNEW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3075D83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9B2D20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ADAPT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1F09DA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C9F03F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GRANADA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128B10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96DA70C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LODZ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EAE6714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5A1F" w:rsidRPr="00AC5789" w14:paraId="68CF0B70" w14:textId="77777777" w:rsidTr="00AC5789">
        <w:trPr>
          <w:trHeight w:val="6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2BCFE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31924E2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Managerial/Coordinator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6A8A5F3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Admin/Implementation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F34FCB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Managerial/Coordinator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48FA89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Admin/Implementation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C020CD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Managerial/Coordinator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B739CF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Admin/Implementation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E316BCE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Managerial/Coordinator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9017AC1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Admin/Implementation</w:t>
            </w:r>
          </w:p>
        </w:tc>
      </w:tr>
      <w:tr w:rsidR="00B35A1F" w:rsidRPr="00AC5789" w14:paraId="06500A0A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B2E8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WP5 (ADAPT Lead)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83A6BB6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430181" w14:textId="2B3FE573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9D8A48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CEAC84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BD4548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17A269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FBE8C62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C1C575B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5A1F" w:rsidRPr="00AC5789" w14:paraId="40A11809" w14:textId="77777777" w:rsidTr="00AC5789">
        <w:trPr>
          <w:trHeight w:val="40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DDC27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Facilitated workshop with social partners (preparation and completion)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E1398B1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D56D9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D9B83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7CA33E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8F6122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8E2680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867CB7A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0F5CC08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35A1F" w:rsidRPr="00AC5789" w14:paraId="03371FA8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3F5E5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Transcription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19D5039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B1B6244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959016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C57D7A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6B70DD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D582F7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10DE572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D28043A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5A1F" w:rsidRPr="00AC5789" w14:paraId="001B9F6F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629CC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Translation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3E7909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B63DD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6F266A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218B0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DF28D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2E9AC4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8F44929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EA7A2C0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35A1F" w:rsidRPr="00AC5789" w14:paraId="306C102E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0638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WP6 (UNEW Lead)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BB6237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B3D856" w14:textId="2647CAE8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7F147E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41D08F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EACCED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C4704F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A155E85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0D7C34C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5A1F" w:rsidRPr="00AC5789" w14:paraId="6F3A05A7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78D2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Coding framework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8E8EE6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0E9E4A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DB518D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D471CE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1EAEAD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1FD73A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F907E46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54911BB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35A1F" w:rsidRPr="00AC5789" w14:paraId="00011B7B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7C5E4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Thematic analysis by country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6F76CB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22D4813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32E45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6E6C38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3A63EE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18752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8535540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FFA4A4C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35A1F" w:rsidRPr="00AC5789" w14:paraId="61809D8B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7F74E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2738F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7C123F6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8D721B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5F3233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15B7CC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391542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3F13A1B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84EC8F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35A1F" w:rsidRPr="00AC5789" w14:paraId="0602F727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DA54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Policy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4C938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C4285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4C4EF8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7E773A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B0E4EE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4B57C8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273348D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8B3D519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35A1F" w:rsidRPr="00AC5789" w14:paraId="14CAF369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04931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report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94B53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AF8E5B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912BB8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46F8F3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C96A94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0A839D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A67DB54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D55EF51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35A1F" w:rsidRPr="00AC5789" w14:paraId="7CF5529B" w14:textId="77777777" w:rsidTr="00AC5789">
        <w:trPr>
          <w:trHeight w:val="20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8B5B9" w14:textId="77777777" w:rsidR="00ED39D3" w:rsidRPr="00ED39D3" w:rsidRDefault="00ED39D3" w:rsidP="00AC5789">
            <w:pPr>
              <w:spacing w:after="0" w:line="240" w:lineRule="auto"/>
              <w:ind w:left="-381" w:firstLine="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report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9044FD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3B35C07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DE424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A14715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30A753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900BEC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7261E5F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C6800D9" w14:textId="77777777" w:rsidR="00ED39D3" w:rsidRPr="00ED39D3" w:rsidRDefault="00ED39D3" w:rsidP="00AC5789">
            <w:pPr>
              <w:spacing w:after="0" w:line="240" w:lineRule="auto"/>
              <w:ind w:left="-381" w:firstLine="381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9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09F08A90" w14:textId="3B335A1F" w:rsidR="00ED39D3" w:rsidRDefault="00ED39D3"/>
    <w:p w14:paraId="3C151D52" w14:textId="115669D4" w:rsidR="00E93E57" w:rsidRDefault="00AE7EC3">
      <w:pPr>
        <w:rPr>
          <w:b/>
        </w:rPr>
      </w:pPr>
      <w:r>
        <w:rPr>
          <w:b/>
        </w:rPr>
        <w:t>Software and data</w:t>
      </w:r>
      <w:r w:rsidR="00B24F26">
        <w:rPr>
          <w:b/>
        </w:rPr>
        <w:t xml:space="preserve"> file</w:t>
      </w:r>
    </w:p>
    <w:p w14:paraId="44ED91D3" w14:textId="7E465505" w:rsidR="007E2678" w:rsidRDefault="00B24F26">
      <w:r>
        <w:t xml:space="preserve">We will be using </w:t>
      </w:r>
      <w:r>
        <w:rPr>
          <w:b/>
          <w:i/>
        </w:rPr>
        <w:t xml:space="preserve">NVivo </w:t>
      </w:r>
      <w:r w:rsidR="00861952">
        <w:rPr>
          <w:b/>
          <w:i/>
        </w:rPr>
        <w:t xml:space="preserve">11. </w:t>
      </w:r>
      <w:r w:rsidR="00861952">
        <w:t>If you don’t have access to NVivo 11</w:t>
      </w:r>
      <w:r w:rsidR="00050E54">
        <w:t xml:space="preserve"> through your university, please let me know as </w:t>
      </w:r>
      <w:r w:rsidR="004E4DEB">
        <w:t xml:space="preserve">we will need to </w:t>
      </w:r>
      <w:r w:rsidR="006A44FF">
        <w:t xml:space="preserve">investigate ways to get you access (e.g. whether you can use Newcastle’s licence given that we are project coordinator).  </w:t>
      </w:r>
      <w:r w:rsidR="00A74E52">
        <w:t xml:space="preserve">It is important that </w:t>
      </w:r>
      <w:r w:rsidR="00DF456E">
        <w:t xml:space="preserve">we use the same version of </w:t>
      </w:r>
      <w:r w:rsidR="00512E1B">
        <w:t>the software so that we can later merge the data files into one file.</w:t>
      </w:r>
    </w:p>
    <w:p w14:paraId="6B38921B" w14:textId="11AD5DBC" w:rsidR="000939EA" w:rsidRDefault="000939EA">
      <w:r>
        <w:t xml:space="preserve">Each national team will have their own file which </w:t>
      </w:r>
      <w:r w:rsidR="00B76009">
        <w:t xml:space="preserve">will contain their data </w:t>
      </w:r>
      <w:r w:rsidR="0005555D">
        <w:t xml:space="preserve">documents.  These files will be later merged into one </w:t>
      </w:r>
      <w:r w:rsidR="00574BCA">
        <w:t>consolidated file.</w:t>
      </w:r>
    </w:p>
    <w:p w14:paraId="48C7F960" w14:textId="23BE86E0" w:rsidR="00BB6C4B" w:rsidRDefault="00BB6C4B">
      <w:r>
        <w:t>If you’re not familiar with NVivo</w:t>
      </w:r>
      <w:r w:rsidR="000607FD">
        <w:t xml:space="preserve">, it is relatively user friendly.  I can give a tutorial at the Granada transnational meeting.  </w:t>
      </w:r>
      <w:r w:rsidR="00E00C44">
        <w:t xml:space="preserve">There are also free tutorials here: </w:t>
      </w:r>
      <w:r w:rsidR="00E00C44" w:rsidRPr="00E00C44">
        <w:t>http://www.qsrinternational.com/nvivo/free-nvivo-resources/tutorials</w:t>
      </w:r>
      <w:r w:rsidR="00E00C44">
        <w:t>.</w:t>
      </w:r>
    </w:p>
    <w:p w14:paraId="1B779BD1" w14:textId="57E67DEF" w:rsidR="00512E1B" w:rsidRDefault="005015B8">
      <w:pPr>
        <w:rPr>
          <w:b/>
        </w:rPr>
      </w:pPr>
      <w:r>
        <w:rPr>
          <w:b/>
        </w:rPr>
        <w:t>Transcriptions and translations</w:t>
      </w:r>
    </w:p>
    <w:p w14:paraId="407A1C6E" w14:textId="4025CAB7" w:rsidR="005015B8" w:rsidRDefault="005015B8">
      <w:r>
        <w:t>Translat</w:t>
      </w:r>
      <w:r w:rsidR="000570CD">
        <w:t xml:space="preserve">ions are carried out by </w:t>
      </w:r>
      <w:r w:rsidR="00CF6DD4">
        <w:t xml:space="preserve">national teams (either by staff or contracted out). Translations are also carried </w:t>
      </w:r>
      <w:r w:rsidR="004E0F92">
        <w:t>out by national teams</w:t>
      </w:r>
      <w:r w:rsidR="00A14955">
        <w:t xml:space="preserve"> but do not necessarily need to be carried out at the same time.  </w:t>
      </w:r>
      <w:r w:rsidR="00A14955">
        <w:lastRenderedPageBreak/>
        <w:t xml:space="preserve">Translated material is needed 1) </w:t>
      </w:r>
      <w:r w:rsidR="00C70051">
        <w:t xml:space="preserve">for the consolidated report </w:t>
      </w:r>
      <w:r w:rsidR="00B071E1">
        <w:t>of thematic and policy analysis (but not necessarily for the country reports; and 2) for submission into the UK data archives.</w:t>
      </w:r>
    </w:p>
    <w:p w14:paraId="5B3169E5" w14:textId="77777777" w:rsidR="007A22BB" w:rsidRDefault="007A22BB">
      <w:pPr>
        <w:rPr>
          <w:b/>
        </w:rPr>
      </w:pPr>
      <w:r>
        <w:rPr>
          <w:b/>
        </w:rPr>
        <w:t>Timetable</w:t>
      </w:r>
    </w:p>
    <w:p w14:paraId="66EE940F" w14:textId="38BED298" w:rsidR="007A22BB" w:rsidRPr="007A22BB" w:rsidRDefault="00832ECC">
      <w:r>
        <w:t xml:space="preserve">The </w:t>
      </w:r>
      <w:r w:rsidR="005A77E8">
        <w:t xml:space="preserve">WP is carried out until </w:t>
      </w:r>
      <w:r w:rsidR="00C36281">
        <w:t>30 June</w:t>
      </w:r>
      <w:r w:rsidR="00467AFE">
        <w:t>.</w:t>
      </w:r>
      <w:r w:rsidR="00F25157">
        <w:t xml:space="preserve"> The interim report (based on the country reports and </w:t>
      </w:r>
      <w:r w:rsidR="005449CE">
        <w:t xml:space="preserve">consolidated findings) will be completed at the end of WP6.  A final report (based on the interim report plus </w:t>
      </w:r>
      <w:r w:rsidR="007461F2">
        <w:t xml:space="preserve">analysis of </w:t>
      </w:r>
      <w:r w:rsidR="00804F2F">
        <w:t>tools and training) will be produced by the end of the project.</w:t>
      </w:r>
    </w:p>
    <w:p w14:paraId="04DE943E" w14:textId="669FF79A" w:rsidR="004C06A3" w:rsidRDefault="007E2678">
      <w:pPr>
        <w:rPr>
          <w:b/>
        </w:rPr>
      </w:pPr>
      <w:r>
        <w:rPr>
          <w:b/>
        </w:rPr>
        <w:t>Coding framework</w:t>
      </w:r>
      <w:r w:rsidR="006256C7">
        <w:rPr>
          <w:b/>
        </w:rPr>
        <w:t>- Completed by 17 April</w:t>
      </w:r>
    </w:p>
    <w:p w14:paraId="4EBFA21F" w14:textId="51402715" w:rsidR="00325F17" w:rsidRDefault="00484F3D">
      <w:r>
        <w:t>The coding will be using thematic analysis</w:t>
      </w:r>
      <w:r w:rsidR="007A5EE9">
        <w:t xml:space="preserve"> based on </w:t>
      </w:r>
      <w:r w:rsidR="006505E2">
        <w:t xml:space="preserve">the </w:t>
      </w:r>
      <w:r w:rsidR="0075109C">
        <w:t xml:space="preserve">workshop protocol and research questions. </w:t>
      </w:r>
      <w:r w:rsidR="00467AFE">
        <w:t xml:space="preserve">A draft coding framework will be produced by </w:t>
      </w:r>
      <w:r w:rsidR="00BB6C4B">
        <w:t xml:space="preserve">31 </w:t>
      </w:r>
      <w:r w:rsidR="00A66CEE">
        <w:t xml:space="preserve">March by Chris and me as a word document.  We will put the draft on </w:t>
      </w:r>
      <w:r w:rsidR="005F5FB9">
        <w:t xml:space="preserve">the Moodle platform. </w:t>
      </w:r>
      <w:r w:rsidR="009E793D">
        <w:t xml:space="preserve"> We can have an additional skype meeting </w:t>
      </w:r>
      <w:r w:rsidR="002E1189">
        <w:t xml:space="preserve">in the first week of April.  </w:t>
      </w:r>
      <w:r w:rsidR="00EF0F2C">
        <w:t xml:space="preserve">Partners can amend the framework </w:t>
      </w:r>
      <w:r w:rsidR="006918D9">
        <w:t>to add any codes</w:t>
      </w:r>
      <w:r w:rsidR="00325F17">
        <w:t xml:space="preserve"> for emerging themes coming from their individual countries.</w:t>
      </w:r>
    </w:p>
    <w:p w14:paraId="25282EF7" w14:textId="282F8863" w:rsidR="00015CF4" w:rsidRDefault="00015CF4">
      <w:r>
        <w:t>A finalised coding framework will be tabled for the Granada meeting</w:t>
      </w:r>
      <w:r w:rsidR="00C7359D">
        <w:t xml:space="preserve">.  </w:t>
      </w:r>
      <w:proofErr w:type="gramStart"/>
      <w:r w:rsidR="00C7359D">
        <w:t>In order to</w:t>
      </w:r>
      <w:proofErr w:type="gramEnd"/>
      <w:r w:rsidR="00C7359D">
        <w:t xml:space="preserve"> </w:t>
      </w:r>
      <w:r w:rsidR="00270456">
        <w:t>ensure that we can later mer</w:t>
      </w:r>
      <w:r w:rsidR="00574BCA">
        <w:t xml:space="preserve">ge the files, it is important that any changes to the coding framework </w:t>
      </w:r>
      <w:r w:rsidR="005D1E78">
        <w:t>be agreed and incorp</w:t>
      </w:r>
      <w:r w:rsidR="006256C7">
        <w:t>orated in all four national data files.</w:t>
      </w:r>
    </w:p>
    <w:p w14:paraId="428FFC3B" w14:textId="74A94F9C" w:rsidR="006256C7" w:rsidRDefault="006256C7">
      <w:pPr>
        <w:rPr>
          <w:b/>
        </w:rPr>
      </w:pPr>
      <w:r>
        <w:rPr>
          <w:b/>
        </w:rPr>
        <w:t>Nationa</w:t>
      </w:r>
      <w:r w:rsidR="0093031C">
        <w:rPr>
          <w:b/>
        </w:rPr>
        <w:t xml:space="preserve">l report </w:t>
      </w:r>
      <w:r w:rsidR="00CC658E">
        <w:rPr>
          <w:b/>
        </w:rPr>
        <w:t>coding</w:t>
      </w:r>
      <w:r w:rsidR="007803BF">
        <w:rPr>
          <w:b/>
        </w:rPr>
        <w:t xml:space="preserve">- Completed by </w:t>
      </w:r>
      <w:r w:rsidR="00CC658E">
        <w:rPr>
          <w:b/>
        </w:rPr>
        <w:t>17 May</w:t>
      </w:r>
    </w:p>
    <w:p w14:paraId="58AC63A0" w14:textId="718A17E7" w:rsidR="0093031C" w:rsidRDefault="00426853">
      <w:pPr>
        <w:rPr>
          <w:b/>
          <w:i/>
        </w:rPr>
      </w:pPr>
      <w:r>
        <w:t xml:space="preserve">Coding of the </w:t>
      </w:r>
      <w:r w:rsidR="001011B9">
        <w:t xml:space="preserve">workshops will be carried out by national teams.  You can either in your </w:t>
      </w:r>
      <w:r w:rsidR="00ED7AEC">
        <w:t xml:space="preserve">respective </w:t>
      </w:r>
      <w:r w:rsidR="001011B9">
        <w:t>national languages</w:t>
      </w:r>
      <w:r w:rsidR="00ED7AEC">
        <w:t>; or in English.  If you op</w:t>
      </w:r>
      <w:r w:rsidR="00EE3417">
        <w:t>t for</w:t>
      </w:r>
      <w:r w:rsidR="003F7DE0">
        <w:t xml:space="preserve"> the former, you will need to highlight quotes/material which you would like Ch</w:t>
      </w:r>
      <w:r w:rsidR="007803BF">
        <w:t>ris to highlight in the consolidated report.</w:t>
      </w:r>
      <w:r w:rsidR="00CC658E">
        <w:t xml:space="preserve"> </w:t>
      </w:r>
      <w:r w:rsidR="00CC658E" w:rsidRPr="005B44AA">
        <w:rPr>
          <w:b/>
          <w:i/>
        </w:rPr>
        <w:t xml:space="preserve"> I propose that we have </w:t>
      </w:r>
      <w:r w:rsidR="005B44AA" w:rsidRPr="005B44AA">
        <w:rPr>
          <w:b/>
          <w:i/>
        </w:rPr>
        <w:t xml:space="preserve">a weekly Skype meeting within this period </w:t>
      </w:r>
      <w:proofErr w:type="gramStart"/>
      <w:r w:rsidR="005B44AA" w:rsidRPr="005B44AA">
        <w:rPr>
          <w:b/>
          <w:i/>
        </w:rPr>
        <w:t>in order to</w:t>
      </w:r>
      <w:proofErr w:type="gramEnd"/>
      <w:r w:rsidR="005B44AA" w:rsidRPr="005B44AA">
        <w:rPr>
          <w:b/>
          <w:i/>
        </w:rPr>
        <w:t xml:space="preserve"> </w:t>
      </w:r>
      <w:r w:rsidR="005B44AA">
        <w:rPr>
          <w:b/>
          <w:i/>
        </w:rPr>
        <w:t>review themes</w:t>
      </w:r>
      <w:r w:rsidR="00853006">
        <w:rPr>
          <w:b/>
          <w:i/>
        </w:rPr>
        <w:t xml:space="preserve"> and the coding framework as well as </w:t>
      </w:r>
      <w:r w:rsidR="003871FA">
        <w:rPr>
          <w:b/>
          <w:i/>
        </w:rPr>
        <w:t>address any problems and concerns about the framework.</w:t>
      </w:r>
    </w:p>
    <w:p w14:paraId="59C3E736" w14:textId="1DB0474D" w:rsidR="003871FA" w:rsidRDefault="003871FA">
      <w:pPr>
        <w:rPr>
          <w:b/>
        </w:rPr>
      </w:pPr>
      <w:r>
        <w:rPr>
          <w:b/>
        </w:rPr>
        <w:t xml:space="preserve">National report </w:t>
      </w:r>
      <w:proofErr w:type="gramStart"/>
      <w:r>
        <w:rPr>
          <w:b/>
        </w:rPr>
        <w:t>write</w:t>
      </w:r>
      <w:proofErr w:type="gramEnd"/>
      <w:r>
        <w:rPr>
          <w:b/>
        </w:rPr>
        <w:t xml:space="preserve"> up-</w:t>
      </w:r>
      <w:r w:rsidR="00182815">
        <w:rPr>
          <w:b/>
        </w:rPr>
        <w:t xml:space="preserve"> Completed by </w:t>
      </w:r>
      <w:r w:rsidR="006557F3">
        <w:rPr>
          <w:b/>
        </w:rPr>
        <w:t>31 May</w:t>
      </w:r>
    </w:p>
    <w:p w14:paraId="0EAC0F7F" w14:textId="2097C1AE" w:rsidR="006557F3" w:rsidRDefault="006557F3">
      <w:r>
        <w:t xml:space="preserve">I will put together </w:t>
      </w:r>
      <w:r w:rsidR="00B51FEB">
        <w:t>a draft report outline</w:t>
      </w:r>
      <w:r w:rsidR="005E35C1">
        <w:t xml:space="preserve"> which we will use to draft country reports</w:t>
      </w:r>
      <w:r w:rsidR="007B4E26">
        <w:t xml:space="preserve">.  Country report drafts </w:t>
      </w:r>
      <w:r w:rsidR="00C716FD">
        <w:t xml:space="preserve">will be circulated </w:t>
      </w:r>
      <w:r w:rsidR="0008390E">
        <w:t xml:space="preserve">and discussed.  </w:t>
      </w:r>
      <w:r w:rsidR="0008390E" w:rsidRPr="00057FD0">
        <w:rPr>
          <w:b/>
        </w:rPr>
        <w:t xml:space="preserve">I propose a skype meeting </w:t>
      </w:r>
      <w:r w:rsidR="008A6837" w:rsidRPr="00057FD0">
        <w:rPr>
          <w:b/>
        </w:rPr>
        <w:t>at or around the 31</w:t>
      </w:r>
      <w:r w:rsidR="008A6837" w:rsidRPr="00057FD0">
        <w:rPr>
          <w:b/>
          <w:vertAlign w:val="superscript"/>
        </w:rPr>
        <w:t>st</w:t>
      </w:r>
      <w:r w:rsidR="008A6837" w:rsidRPr="00057FD0">
        <w:rPr>
          <w:b/>
        </w:rPr>
        <w:t>.</w:t>
      </w:r>
      <w:r w:rsidR="007515E0" w:rsidRPr="00057FD0">
        <w:rPr>
          <w:b/>
        </w:rPr>
        <w:t xml:space="preserve"> We can then discuss proposed outline for the consolidated report</w:t>
      </w:r>
      <w:r w:rsidR="00CA4E78" w:rsidRPr="00057FD0">
        <w:rPr>
          <w:b/>
        </w:rPr>
        <w:t xml:space="preserve">, </w:t>
      </w:r>
      <w:r w:rsidR="00057FD0" w:rsidRPr="00057FD0">
        <w:rPr>
          <w:b/>
        </w:rPr>
        <w:t>common themes and recommendations.</w:t>
      </w:r>
    </w:p>
    <w:p w14:paraId="7B91B86F" w14:textId="3AB71640" w:rsidR="008A6837" w:rsidRDefault="008A6837">
      <w:pPr>
        <w:rPr>
          <w:b/>
        </w:rPr>
      </w:pPr>
      <w:r>
        <w:rPr>
          <w:b/>
        </w:rPr>
        <w:t>Interim report- Completed by 30 June</w:t>
      </w:r>
    </w:p>
    <w:p w14:paraId="1CDD6C2B" w14:textId="59AB23F5" w:rsidR="008A6837" w:rsidRPr="008A6837" w:rsidRDefault="008A6837">
      <w:r>
        <w:t xml:space="preserve">This stage will be written up by Chris with support from me and </w:t>
      </w:r>
      <w:r w:rsidR="004B2311">
        <w:t xml:space="preserve">some help from </w:t>
      </w:r>
      <w:r w:rsidR="00E22A0C">
        <w:t>Granada and ADAPT (</w:t>
      </w:r>
      <w:r w:rsidR="00E55249">
        <w:t>WP5 surplus)</w:t>
      </w:r>
      <w:r w:rsidR="006B7479">
        <w:t xml:space="preserve"> and myself.  A </w:t>
      </w:r>
      <w:r w:rsidR="00567198">
        <w:t xml:space="preserve">draft outline will be circulated by the first week of </w:t>
      </w:r>
      <w:r w:rsidR="00057FD0">
        <w:t>June following the Skype meeting.</w:t>
      </w:r>
      <w:r w:rsidR="001D7E71">
        <w:t xml:space="preserve"> A draft report will be produced by the end of the month to be circulated to the group then.</w:t>
      </w:r>
      <w:bookmarkStart w:id="0" w:name="_GoBack"/>
      <w:bookmarkEnd w:id="0"/>
    </w:p>
    <w:p w14:paraId="6365955B" w14:textId="77777777" w:rsidR="003871FA" w:rsidRDefault="003871FA"/>
    <w:p w14:paraId="37BFEC92" w14:textId="77777777" w:rsidR="007803BF" w:rsidRPr="00804F2F" w:rsidRDefault="007803BF"/>
    <w:p w14:paraId="3416ADBA" w14:textId="084B3A98" w:rsidR="007E2678" w:rsidRPr="007A22BB" w:rsidRDefault="007E2678"/>
    <w:sectPr w:rsidR="007E2678" w:rsidRPr="007A2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15CF4"/>
    <w:rsid w:val="00050E54"/>
    <w:rsid w:val="00054A82"/>
    <w:rsid w:val="0005555D"/>
    <w:rsid w:val="000570CD"/>
    <w:rsid w:val="00057FD0"/>
    <w:rsid w:val="000607FD"/>
    <w:rsid w:val="0008390E"/>
    <w:rsid w:val="000939EA"/>
    <w:rsid w:val="000A7862"/>
    <w:rsid w:val="001011B9"/>
    <w:rsid w:val="00182815"/>
    <w:rsid w:val="001D7E71"/>
    <w:rsid w:val="00213192"/>
    <w:rsid w:val="00270456"/>
    <w:rsid w:val="002C5934"/>
    <w:rsid w:val="002E1189"/>
    <w:rsid w:val="00325F17"/>
    <w:rsid w:val="00333607"/>
    <w:rsid w:val="00334DA8"/>
    <w:rsid w:val="003871FA"/>
    <w:rsid w:val="003F7DE0"/>
    <w:rsid w:val="00426853"/>
    <w:rsid w:val="00467AFE"/>
    <w:rsid w:val="00477163"/>
    <w:rsid w:val="00484F3D"/>
    <w:rsid w:val="004B2311"/>
    <w:rsid w:val="004C06A3"/>
    <w:rsid w:val="004C135A"/>
    <w:rsid w:val="004D16FD"/>
    <w:rsid w:val="004E0F92"/>
    <w:rsid w:val="004E4DEB"/>
    <w:rsid w:val="005015B8"/>
    <w:rsid w:val="00512E1B"/>
    <w:rsid w:val="0053410D"/>
    <w:rsid w:val="00534319"/>
    <w:rsid w:val="005449CE"/>
    <w:rsid w:val="00567198"/>
    <w:rsid w:val="00574BCA"/>
    <w:rsid w:val="005A77E8"/>
    <w:rsid w:val="005B44AA"/>
    <w:rsid w:val="005D1E78"/>
    <w:rsid w:val="005E35C1"/>
    <w:rsid w:val="005F5FB9"/>
    <w:rsid w:val="006256C7"/>
    <w:rsid w:val="00637D72"/>
    <w:rsid w:val="006505E2"/>
    <w:rsid w:val="006544CF"/>
    <w:rsid w:val="006557F3"/>
    <w:rsid w:val="006918D9"/>
    <w:rsid w:val="006A44FF"/>
    <w:rsid w:val="006B7479"/>
    <w:rsid w:val="007461F2"/>
    <w:rsid w:val="0075109C"/>
    <w:rsid w:val="007515E0"/>
    <w:rsid w:val="007803BF"/>
    <w:rsid w:val="007A22BB"/>
    <w:rsid w:val="007A5EE9"/>
    <w:rsid w:val="007B4E26"/>
    <w:rsid w:val="007D115B"/>
    <w:rsid w:val="007E2678"/>
    <w:rsid w:val="00804F2F"/>
    <w:rsid w:val="00832ECC"/>
    <w:rsid w:val="00853006"/>
    <w:rsid w:val="00861952"/>
    <w:rsid w:val="008A6837"/>
    <w:rsid w:val="00917781"/>
    <w:rsid w:val="0093031C"/>
    <w:rsid w:val="009E793D"/>
    <w:rsid w:val="00A07C84"/>
    <w:rsid w:val="00A14955"/>
    <w:rsid w:val="00A27977"/>
    <w:rsid w:val="00A66CEE"/>
    <w:rsid w:val="00A74E2E"/>
    <w:rsid w:val="00A74E52"/>
    <w:rsid w:val="00AC5789"/>
    <w:rsid w:val="00AE47DC"/>
    <w:rsid w:val="00AE7EC3"/>
    <w:rsid w:val="00B071E1"/>
    <w:rsid w:val="00B24F26"/>
    <w:rsid w:val="00B35A1F"/>
    <w:rsid w:val="00B51FEB"/>
    <w:rsid w:val="00B56C5B"/>
    <w:rsid w:val="00B76009"/>
    <w:rsid w:val="00B822B2"/>
    <w:rsid w:val="00B851E6"/>
    <w:rsid w:val="00BB6C4B"/>
    <w:rsid w:val="00C36281"/>
    <w:rsid w:val="00C40F8B"/>
    <w:rsid w:val="00C6058D"/>
    <w:rsid w:val="00C70051"/>
    <w:rsid w:val="00C716FD"/>
    <w:rsid w:val="00C7359D"/>
    <w:rsid w:val="00CA4E78"/>
    <w:rsid w:val="00CB1D38"/>
    <w:rsid w:val="00CC658E"/>
    <w:rsid w:val="00CF6DD4"/>
    <w:rsid w:val="00DF456E"/>
    <w:rsid w:val="00E00C44"/>
    <w:rsid w:val="00E22A0C"/>
    <w:rsid w:val="00E55249"/>
    <w:rsid w:val="00E67212"/>
    <w:rsid w:val="00E7267B"/>
    <w:rsid w:val="00E93E57"/>
    <w:rsid w:val="00ED39D3"/>
    <w:rsid w:val="00ED7AEC"/>
    <w:rsid w:val="00EE3417"/>
    <w:rsid w:val="00EF0F2C"/>
    <w:rsid w:val="00F25157"/>
    <w:rsid w:val="00F2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D3ED"/>
  <w15:chartTrackingRefBased/>
  <w15:docId w15:val="{06275185-48A6-4834-A132-27674D32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马特Matthew</dc:creator>
  <cp:keywords/>
  <dc:description/>
  <cp:lastModifiedBy>马特Matthew</cp:lastModifiedBy>
  <cp:revision>110</cp:revision>
  <dcterms:created xsi:type="dcterms:W3CDTF">2018-03-18T16:03:00Z</dcterms:created>
  <dcterms:modified xsi:type="dcterms:W3CDTF">2018-03-19T13:28:00Z</dcterms:modified>
</cp:coreProperties>
</file>