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0D" w:rsidRDefault="0092010D" w:rsidP="008A57D4">
      <w:pPr>
        <w:pStyle w:val="Heading1"/>
      </w:pPr>
      <w:r>
        <w:t>ASPIRE Evaluation</w:t>
      </w:r>
      <w:r w:rsidR="00F5289D">
        <w:t xml:space="preserve"> – preliminary comments</w:t>
      </w:r>
    </w:p>
    <w:p w:rsidR="0092010D" w:rsidRDefault="0092010D" w:rsidP="0092010D">
      <w:r>
        <w:t>The purpose of the external evaluation of the ASPIRE Project is to examine how far the project achieved its objectives, and what lessons might be learned from the experience.</w:t>
      </w:r>
    </w:p>
    <w:p w:rsidR="00F5289D" w:rsidRDefault="00F5289D" w:rsidP="0092010D">
      <w:r>
        <w:t>This short paper suggests some broad conclusions, and some issues worth considering in the final report. It has been prepared following the project workshop held in Brussels on 9</w:t>
      </w:r>
      <w:r w:rsidRPr="00F5289D">
        <w:rPr>
          <w:vertAlign w:val="superscript"/>
        </w:rPr>
        <w:t>th</w:t>
      </w:r>
      <w:r>
        <w:t xml:space="preserve"> April. It is being circulated </w:t>
      </w:r>
      <w:r w:rsidR="00E40A59">
        <w:t xml:space="preserve">for comment </w:t>
      </w:r>
      <w:r>
        <w:t>to those who attended that meeting</w:t>
      </w:r>
      <w:r w:rsidR="00E40A59">
        <w:t xml:space="preserve">. The second and third sections reflect what was said in the Brussels workshop and my reading of the documentation </w:t>
      </w:r>
      <w:proofErr w:type="spellStart"/>
      <w:r w:rsidR="00E40A59">
        <w:t>rpduced</w:t>
      </w:r>
      <w:proofErr w:type="spellEnd"/>
      <w:r w:rsidR="00E40A59">
        <w:t xml:space="preserve"> during the project.</w:t>
      </w:r>
    </w:p>
    <w:p w:rsidR="00E40A59" w:rsidRDefault="00E40A59" w:rsidP="0092010D">
      <w:r>
        <w:t xml:space="preserve">The evaluation </w:t>
      </w:r>
      <w:r>
        <w:t>will</w:t>
      </w:r>
      <w:r>
        <w:t xml:space="preserve"> comment on the questions</w:t>
      </w:r>
      <w:r>
        <w:t xml:space="preserve"> listed below.  Each item is numbered to make it easy to refer to specific points. Please feel free to add any other comments you wish. </w:t>
      </w:r>
    </w:p>
    <w:p w:rsidR="00E40A59" w:rsidRDefault="00E40A59" w:rsidP="0092010D">
      <w:r>
        <w:t>I will be following this up with individual phone interviews with each of the national coordinators.</w:t>
      </w:r>
    </w:p>
    <w:p w:rsidR="00E40A59" w:rsidRDefault="00E40A59" w:rsidP="0092010D">
      <w:r>
        <w:t xml:space="preserve">Please send comments to me (Stephen McNair) at </w:t>
      </w:r>
      <w:hyperlink r:id="rId5" w:history="1">
        <w:r w:rsidRPr="00812FB4">
          <w:rPr>
            <w:rStyle w:val="Hyperlink"/>
          </w:rPr>
          <w:t>age@stephenmcnair.uk</w:t>
        </w:r>
      </w:hyperlink>
      <w:r>
        <w:t xml:space="preserve"> </w:t>
      </w:r>
    </w:p>
    <w:p w:rsidR="005A1A78" w:rsidRDefault="005A1A78" w:rsidP="00E40A59">
      <w:pPr>
        <w:pStyle w:val="Heading2"/>
      </w:pPr>
    </w:p>
    <w:p w:rsidR="005A1A78" w:rsidRDefault="005A1A78" w:rsidP="00E40A59">
      <w:pPr>
        <w:pStyle w:val="Heading2"/>
      </w:pPr>
    </w:p>
    <w:p w:rsidR="00E40A59" w:rsidRDefault="00E40A59" w:rsidP="00E40A59">
      <w:pPr>
        <w:pStyle w:val="Heading2"/>
      </w:pPr>
      <w:r>
        <w:t>Contract compliance</w:t>
      </w:r>
      <w:r w:rsidR="005A1A78"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40A59" w:rsidRPr="00E40A59" w:rsidTr="00E40A59">
        <w:tc>
          <w:tcPr>
            <w:tcW w:w="7225" w:type="dxa"/>
          </w:tcPr>
          <w:p w:rsidR="00E40A59" w:rsidRPr="00E40A59" w:rsidRDefault="00E40A59" w:rsidP="00E40A59">
            <w:pPr>
              <w:pStyle w:val="ListParagraph"/>
              <w:numPr>
                <w:ilvl w:val="0"/>
                <w:numId w:val="9"/>
              </w:numPr>
            </w:pPr>
            <w:r w:rsidRPr="00E40A59">
              <w:t xml:space="preserve">Did the individual partners do what was agreed?  If it was varied, how and why? – </w:t>
            </w:r>
          </w:p>
        </w:tc>
        <w:tc>
          <w:tcPr>
            <w:tcW w:w="1791" w:type="dxa"/>
          </w:tcPr>
          <w:p w:rsidR="00E40A59" w:rsidRPr="00E40A59" w:rsidRDefault="00E40A59" w:rsidP="00E40A59">
            <w:r>
              <w:t>Y</w:t>
            </w:r>
            <w:r w:rsidRPr="00E40A59">
              <w:t>es</w:t>
            </w:r>
          </w:p>
        </w:tc>
      </w:tr>
      <w:tr w:rsidR="00E40A59" w:rsidRPr="00E40A59" w:rsidTr="00E40A59">
        <w:tc>
          <w:tcPr>
            <w:tcW w:w="7225" w:type="dxa"/>
          </w:tcPr>
          <w:p w:rsidR="00E40A59" w:rsidRPr="00E40A59" w:rsidRDefault="00E40A59" w:rsidP="00E40A59">
            <w:pPr>
              <w:pStyle w:val="ListParagraph"/>
              <w:numPr>
                <w:ilvl w:val="0"/>
                <w:numId w:val="9"/>
              </w:numPr>
            </w:pPr>
            <w:r w:rsidRPr="00E40A59">
              <w:t xml:space="preserve">Did the project overall do what was agreed?  </w:t>
            </w:r>
          </w:p>
        </w:tc>
        <w:tc>
          <w:tcPr>
            <w:tcW w:w="1791" w:type="dxa"/>
          </w:tcPr>
          <w:p w:rsidR="00E40A59" w:rsidRPr="00E40A59" w:rsidRDefault="00E40A59" w:rsidP="00A8527F">
            <w:r>
              <w:t>Yes</w:t>
            </w:r>
          </w:p>
        </w:tc>
      </w:tr>
      <w:tr w:rsidR="00E40A59" w:rsidRPr="00E40A59" w:rsidTr="00E40A59">
        <w:tc>
          <w:tcPr>
            <w:tcW w:w="7225" w:type="dxa"/>
          </w:tcPr>
          <w:p w:rsidR="00E40A59" w:rsidRPr="00E40A59" w:rsidRDefault="00E40A59" w:rsidP="00E40A59">
            <w:pPr>
              <w:pStyle w:val="ListParagraph"/>
              <w:numPr>
                <w:ilvl w:val="0"/>
                <w:numId w:val="9"/>
              </w:numPr>
            </w:pPr>
            <w:r w:rsidRPr="00E40A59">
              <w:t xml:space="preserve">carry out the national research studies, </w:t>
            </w:r>
          </w:p>
        </w:tc>
        <w:tc>
          <w:tcPr>
            <w:tcW w:w="1791" w:type="dxa"/>
          </w:tcPr>
          <w:p w:rsidR="00E40A59" w:rsidRPr="00E40A59" w:rsidRDefault="00E40A59" w:rsidP="00A8527F">
            <w:r>
              <w:t>Yes</w:t>
            </w:r>
          </w:p>
        </w:tc>
      </w:tr>
      <w:tr w:rsidR="00E40A59" w:rsidRPr="00E40A59" w:rsidTr="00E40A59">
        <w:tc>
          <w:tcPr>
            <w:tcW w:w="7225" w:type="dxa"/>
          </w:tcPr>
          <w:p w:rsidR="00E40A59" w:rsidRPr="00E40A59" w:rsidRDefault="00E40A59" w:rsidP="00E40A59">
            <w:pPr>
              <w:pStyle w:val="ListParagraph"/>
              <w:numPr>
                <w:ilvl w:val="0"/>
                <w:numId w:val="9"/>
              </w:numPr>
            </w:pPr>
            <w:r w:rsidRPr="00E40A59">
              <w:t xml:space="preserve">develop the planned training resources </w:t>
            </w:r>
            <w:r>
              <w:t xml:space="preserve"> </w:t>
            </w:r>
          </w:p>
        </w:tc>
        <w:tc>
          <w:tcPr>
            <w:tcW w:w="1791" w:type="dxa"/>
          </w:tcPr>
          <w:p w:rsidR="00E40A59" w:rsidRPr="00E40A59" w:rsidRDefault="00E40A59" w:rsidP="00A8527F">
            <w:r>
              <w:t>Yes</w:t>
            </w:r>
          </w:p>
        </w:tc>
      </w:tr>
      <w:tr w:rsidR="00E40A59" w:rsidRPr="00E40A59" w:rsidTr="00E40A59">
        <w:tc>
          <w:tcPr>
            <w:tcW w:w="7225" w:type="dxa"/>
          </w:tcPr>
          <w:p w:rsidR="00E40A59" w:rsidRPr="00E40A59" w:rsidRDefault="00E40A59" w:rsidP="00E40A59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E40A59">
              <w:t>create</w:t>
            </w:r>
            <w:proofErr w:type="gramEnd"/>
            <w:r w:rsidRPr="00E40A59">
              <w:t xml:space="preserve"> a social network for practitioners? ?</w:t>
            </w:r>
          </w:p>
        </w:tc>
        <w:tc>
          <w:tcPr>
            <w:tcW w:w="1791" w:type="dxa"/>
          </w:tcPr>
          <w:p w:rsidR="00E40A59" w:rsidRPr="00E40A59" w:rsidRDefault="00E40A59" w:rsidP="00A8527F">
            <w:r>
              <w:t>?</w:t>
            </w:r>
          </w:p>
        </w:tc>
      </w:tr>
      <w:tr w:rsidR="00E40A59" w:rsidRPr="00E40A59" w:rsidTr="00E40A59">
        <w:tc>
          <w:tcPr>
            <w:tcW w:w="7225" w:type="dxa"/>
          </w:tcPr>
          <w:p w:rsidR="00E40A59" w:rsidRPr="00E40A59" w:rsidRDefault="00E40A59" w:rsidP="00E40A59">
            <w:pPr>
              <w:pStyle w:val="ListParagraph"/>
              <w:numPr>
                <w:ilvl w:val="0"/>
                <w:numId w:val="9"/>
              </w:numPr>
            </w:pPr>
            <w:r w:rsidRPr="00E40A59">
              <w:t>What was not achieved and why?</w:t>
            </w:r>
          </w:p>
        </w:tc>
        <w:tc>
          <w:tcPr>
            <w:tcW w:w="1791" w:type="dxa"/>
          </w:tcPr>
          <w:p w:rsidR="00E40A59" w:rsidRPr="00E40A59" w:rsidRDefault="00E40A59" w:rsidP="00A8527F"/>
        </w:tc>
      </w:tr>
      <w:tr w:rsidR="00E40A59" w:rsidRPr="00E40A59" w:rsidTr="00E40A59">
        <w:tc>
          <w:tcPr>
            <w:tcW w:w="7225" w:type="dxa"/>
          </w:tcPr>
          <w:p w:rsidR="00E40A59" w:rsidRPr="00E40A59" w:rsidRDefault="00E40A59" w:rsidP="00E40A59">
            <w:pPr>
              <w:pStyle w:val="ListParagraph"/>
              <w:numPr>
                <w:ilvl w:val="0"/>
                <w:numId w:val="9"/>
              </w:numPr>
            </w:pPr>
            <w:r w:rsidRPr="00E40A59">
              <w:t>Was the budget appropriately spent on the agreed activities?</w:t>
            </w:r>
          </w:p>
        </w:tc>
        <w:tc>
          <w:tcPr>
            <w:tcW w:w="1791" w:type="dxa"/>
          </w:tcPr>
          <w:p w:rsidR="00E40A59" w:rsidRPr="00E40A59" w:rsidRDefault="00E40A59" w:rsidP="00A8527F"/>
        </w:tc>
      </w:tr>
      <w:tr w:rsidR="00E40A59" w:rsidRPr="00E40A59" w:rsidTr="00E40A59">
        <w:tc>
          <w:tcPr>
            <w:tcW w:w="7225" w:type="dxa"/>
          </w:tcPr>
          <w:p w:rsidR="00E40A59" w:rsidRPr="00E40A59" w:rsidRDefault="00E40A59" w:rsidP="00E40A59">
            <w:pPr>
              <w:pStyle w:val="ListParagraph"/>
              <w:numPr>
                <w:ilvl w:val="0"/>
                <w:numId w:val="9"/>
              </w:numPr>
            </w:pPr>
            <w:r w:rsidRPr="00E40A59">
              <w:t>What was most successful?</w:t>
            </w:r>
          </w:p>
        </w:tc>
        <w:tc>
          <w:tcPr>
            <w:tcW w:w="1791" w:type="dxa"/>
          </w:tcPr>
          <w:p w:rsidR="00E40A59" w:rsidRPr="00E40A59" w:rsidRDefault="00E40A59" w:rsidP="00A8527F"/>
        </w:tc>
      </w:tr>
      <w:tr w:rsidR="00E40A59" w:rsidRPr="00E40A59" w:rsidTr="00E40A59">
        <w:tc>
          <w:tcPr>
            <w:tcW w:w="7225" w:type="dxa"/>
          </w:tcPr>
          <w:p w:rsidR="00E40A59" w:rsidRPr="00E40A59" w:rsidRDefault="00E40A59" w:rsidP="00E40A59">
            <w:pPr>
              <w:pStyle w:val="ListParagraph"/>
              <w:numPr>
                <w:ilvl w:val="0"/>
                <w:numId w:val="9"/>
              </w:numPr>
            </w:pPr>
            <w:r w:rsidRPr="00E40A59">
              <w:t>What was most difficult?</w:t>
            </w:r>
          </w:p>
        </w:tc>
        <w:tc>
          <w:tcPr>
            <w:tcW w:w="1791" w:type="dxa"/>
          </w:tcPr>
          <w:p w:rsidR="00E40A59" w:rsidRPr="00E40A59" w:rsidRDefault="00E40A59" w:rsidP="00A8527F"/>
        </w:tc>
      </w:tr>
      <w:tr w:rsidR="00E40A59" w:rsidRPr="00E40A59" w:rsidTr="00E40A59">
        <w:tc>
          <w:tcPr>
            <w:tcW w:w="7225" w:type="dxa"/>
          </w:tcPr>
          <w:p w:rsidR="00E40A59" w:rsidRPr="00E40A59" w:rsidRDefault="00E40A59" w:rsidP="00E40A59">
            <w:pPr>
              <w:pStyle w:val="ListParagraph"/>
              <w:numPr>
                <w:ilvl w:val="0"/>
                <w:numId w:val="9"/>
              </w:numPr>
            </w:pPr>
            <w:r w:rsidRPr="00E40A59">
              <w:t>What was most surprising?</w:t>
            </w:r>
          </w:p>
        </w:tc>
        <w:tc>
          <w:tcPr>
            <w:tcW w:w="1791" w:type="dxa"/>
          </w:tcPr>
          <w:p w:rsidR="00E40A59" w:rsidRPr="00E40A59" w:rsidRDefault="00E40A59" w:rsidP="00A8527F"/>
        </w:tc>
      </w:tr>
      <w:tr w:rsidR="00E40A59" w:rsidRPr="00E40A59" w:rsidTr="00E40A59">
        <w:tc>
          <w:tcPr>
            <w:tcW w:w="7225" w:type="dxa"/>
          </w:tcPr>
          <w:p w:rsidR="00E40A59" w:rsidRPr="00E40A59" w:rsidRDefault="00E40A59" w:rsidP="00E40A59">
            <w:pPr>
              <w:pStyle w:val="ListParagraph"/>
              <w:numPr>
                <w:ilvl w:val="0"/>
                <w:numId w:val="9"/>
              </w:numPr>
            </w:pPr>
            <w:r w:rsidRPr="00E40A59">
              <w:t>How useful were the research reports and training resources? What evidence is there of this?</w:t>
            </w:r>
          </w:p>
        </w:tc>
        <w:tc>
          <w:tcPr>
            <w:tcW w:w="1791" w:type="dxa"/>
          </w:tcPr>
          <w:p w:rsidR="00E40A59" w:rsidRPr="00E40A59" w:rsidRDefault="00E40A59" w:rsidP="00A8527F"/>
        </w:tc>
      </w:tr>
    </w:tbl>
    <w:p w:rsidR="0092010D" w:rsidRDefault="0092010D" w:rsidP="0092010D"/>
    <w:p w:rsidR="005A1A78" w:rsidRDefault="005A1A78">
      <w:pPr>
        <w:spacing w:before="0" w:after="160" w:line="259" w:lineRule="auto"/>
        <w:rPr>
          <w:rFonts w:eastAsiaTheme="majorEastAsia" w:cstheme="majorBidi"/>
          <w:sz w:val="28"/>
          <w:szCs w:val="26"/>
        </w:rPr>
      </w:pPr>
      <w:r>
        <w:br w:type="page"/>
      </w:r>
    </w:p>
    <w:p w:rsidR="00F82E43" w:rsidRDefault="0092010D" w:rsidP="00F82E43">
      <w:pPr>
        <w:pStyle w:val="Heading2"/>
      </w:pPr>
      <w:r w:rsidRPr="0092010D">
        <w:lastRenderedPageBreak/>
        <w:t>What ASPIRE has contributed</w:t>
      </w:r>
      <w:r w:rsidR="00F82E43">
        <w:t xml:space="preserve"> to our knowledge </w:t>
      </w:r>
    </w:p>
    <w:p w:rsidR="00175DF2" w:rsidRDefault="00F82E43" w:rsidP="00F82E43">
      <w:r>
        <w:t>Better understanding of</w:t>
      </w:r>
      <w:r w:rsidR="00175DF2">
        <w:t>:</w:t>
      </w:r>
    </w:p>
    <w:p w:rsidR="0092010D" w:rsidRPr="0092010D" w:rsidRDefault="00F82E43" w:rsidP="001E7172">
      <w:pPr>
        <w:pStyle w:val="ListParagraph"/>
        <w:numPr>
          <w:ilvl w:val="0"/>
          <w:numId w:val="6"/>
        </w:numPr>
      </w:pPr>
      <w:r>
        <w:t>the diversity of</w:t>
      </w:r>
      <w:r w:rsidR="0092010D" w:rsidRPr="0092010D">
        <w:t xml:space="preserve"> industrial relations contexts, </w:t>
      </w:r>
      <w:r>
        <w:t xml:space="preserve">especially </w:t>
      </w:r>
      <w:r w:rsidR="0092010D" w:rsidRPr="0092010D">
        <w:t>in</w:t>
      </w:r>
      <w:r>
        <w:t xml:space="preserve"> </w:t>
      </w:r>
      <w:r w:rsidR="0092010D" w:rsidRPr="0092010D">
        <w:t xml:space="preserve">countries </w:t>
      </w:r>
      <w:r>
        <w:t xml:space="preserve">which have not been leaders in </w:t>
      </w:r>
      <w:r w:rsidR="0092010D" w:rsidRPr="0092010D">
        <w:t>European age policy developments</w:t>
      </w:r>
    </w:p>
    <w:p w:rsidR="0092010D" w:rsidRPr="0092010D" w:rsidRDefault="00F82E43" w:rsidP="001E7172">
      <w:pPr>
        <w:pStyle w:val="ListParagraph"/>
        <w:numPr>
          <w:ilvl w:val="0"/>
          <w:numId w:val="6"/>
        </w:numPr>
      </w:pPr>
      <w:r>
        <w:t xml:space="preserve">the diversity of </w:t>
      </w:r>
      <w:r w:rsidR="0092010D" w:rsidRPr="0092010D">
        <w:t>labour market contexts</w:t>
      </w:r>
    </w:p>
    <w:p w:rsidR="0092010D" w:rsidRPr="0092010D" w:rsidRDefault="00F82E43" w:rsidP="001E7172">
      <w:pPr>
        <w:pStyle w:val="ListParagraph"/>
        <w:numPr>
          <w:ilvl w:val="0"/>
          <w:numId w:val="6"/>
        </w:numPr>
      </w:pPr>
      <w:r>
        <w:t>the l</w:t>
      </w:r>
      <w:r w:rsidR="0092010D" w:rsidRPr="0092010D">
        <w:t>imit</w:t>
      </w:r>
      <w:r w:rsidR="00175DF2">
        <w:t>ation</w:t>
      </w:r>
      <w:r w:rsidR="0092010D" w:rsidRPr="0092010D">
        <w:t xml:space="preserve">s </w:t>
      </w:r>
      <w:r>
        <w:t xml:space="preserve">of change models based on </w:t>
      </w:r>
      <w:r w:rsidR="0092010D" w:rsidRPr="0092010D">
        <w:t>social partnership</w:t>
      </w:r>
      <w:r>
        <w:t>, which means very different things in different countries</w:t>
      </w:r>
    </w:p>
    <w:p w:rsidR="0092010D" w:rsidRPr="0092010D" w:rsidRDefault="00F82E43" w:rsidP="001E7172">
      <w:pPr>
        <w:pStyle w:val="ListParagraph"/>
        <w:numPr>
          <w:ilvl w:val="0"/>
          <w:numId w:val="6"/>
        </w:numPr>
      </w:pPr>
      <w:r>
        <w:t>National differences in terms of t</w:t>
      </w:r>
      <w:r w:rsidR="0092010D" w:rsidRPr="0092010D">
        <w:t xml:space="preserve">op down and bottom up </w:t>
      </w:r>
      <w:r>
        <w:t xml:space="preserve">industrial relations </w:t>
      </w:r>
      <w:r w:rsidR="0092010D" w:rsidRPr="0092010D">
        <w:t>strategies</w:t>
      </w:r>
    </w:p>
    <w:p w:rsidR="0092010D" w:rsidRPr="0092010D" w:rsidRDefault="0092010D" w:rsidP="001E7172">
      <w:pPr>
        <w:pStyle w:val="ListParagraph"/>
        <w:numPr>
          <w:ilvl w:val="0"/>
          <w:numId w:val="6"/>
        </w:numPr>
      </w:pPr>
      <w:r w:rsidRPr="0092010D">
        <w:t>Limit</w:t>
      </w:r>
      <w:r w:rsidR="00175DF2">
        <w:t>ations of</w:t>
      </w:r>
      <w:r w:rsidRPr="0092010D">
        <w:t xml:space="preserve"> European level intervention</w:t>
      </w:r>
      <w:r w:rsidR="00175DF2">
        <w:t>, especially the</w:t>
      </w:r>
      <w:r w:rsidRPr="0092010D">
        <w:t xml:space="preserve"> low awareness of </w:t>
      </w:r>
      <w:r w:rsidR="00175DF2">
        <w:t xml:space="preserve">European </w:t>
      </w:r>
      <w:r w:rsidRPr="0092010D">
        <w:t>pol</w:t>
      </w:r>
      <w:r w:rsidR="00175DF2">
        <w:t>i</w:t>
      </w:r>
      <w:r w:rsidRPr="0092010D">
        <w:t>cies</w:t>
      </w:r>
      <w:r w:rsidR="00175DF2">
        <w:t xml:space="preserve"> like the </w:t>
      </w:r>
      <w:r w:rsidR="00844AE1">
        <w:t>Framework</w:t>
      </w:r>
      <w:r w:rsidR="00175DF2">
        <w:t xml:space="preserve"> agreement</w:t>
      </w:r>
    </w:p>
    <w:p w:rsidR="0092010D" w:rsidRPr="0092010D" w:rsidRDefault="00844AE1" w:rsidP="001E7172">
      <w:pPr>
        <w:pStyle w:val="ListParagraph"/>
        <w:numPr>
          <w:ilvl w:val="0"/>
          <w:numId w:val="6"/>
        </w:numPr>
      </w:pPr>
      <w:r>
        <w:t xml:space="preserve">That </w:t>
      </w:r>
      <w:r w:rsidR="00175DF2">
        <w:t>“age policy/strategy” is not widely recognised as an issue or a priority,</w:t>
      </w:r>
      <w:r>
        <w:t xml:space="preserve"> and “age management </w:t>
      </w:r>
      <w:proofErr w:type="spellStart"/>
      <w:r>
        <w:t>startegies</w:t>
      </w:r>
      <w:proofErr w:type="spellEnd"/>
      <w:r>
        <w:t>” are not widespread. However,</w:t>
      </w:r>
      <w:r w:rsidR="00175DF2">
        <w:t xml:space="preserve"> the issues which an ageing society r</w:t>
      </w:r>
      <w:r>
        <w:t>aises are more widely acknowledged</w:t>
      </w:r>
      <w:r w:rsidR="0092010D" w:rsidRPr="0092010D">
        <w:t xml:space="preserve">, but </w:t>
      </w:r>
      <w:r>
        <w:t xml:space="preserve">they are </w:t>
      </w:r>
      <w:r w:rsidR="0092010D" w:rsidRPr="0092010D">
        <w:t>not framed as “age policy”</w:t>
      </w:r>
      <w:r>
        <w:t xml:space="preserve"> or enshrined in formal strategies.</w:t>
      </w:r>
    </w:p>
    <w:p w:rsidR="0092010D" w:rsidRPr="0092010D" w:rsidRDefault="00844AE1" w:rsidP="001E7172">
      <w:pPr>
        <w:pStyle w:val="ListParagraph"/>
        <w:numPr>
          <w:ilvl w:val="0"/>
          <w:numId w:val="6"/>
        </w:numPr>
      </w:pPr>
      <w:r>
        <w:t>The diversity of d</w:t>
      </w:r>
      <w:r w:rsidR="0092010D" w:rsidRPr="0092010D">
        <w:t>rivers for change – demography, business case, equality</w:t>
      </w:r>
      <w:r w:rsidR="00175DF2">
        <w:t xml:space="preserve"> – and the different impact each has in each country</w:t>
      </w:r>
    </w:p>
    <w:p w:rsidR="0092010D" w:rsidRDefault="00175DF2" w:rsidP="001E7172">
      <w:pPr>
        <w:pStyle w:val="ListParagraph"/>
        <w:numPr>
          <w:ilvl w:val="0"/>
          <w:numId w:val="6"/>
        </w:numPr>
      </w:pPr>
      <w:r>
        <w:t>The tensions between c</w:t>
      </w:r>
      <w:r w:rsidR="0092010D" w:rsidRPr="0092010D">
        <w:t>onflicting policies</w:t>
      </w:r>
      <w:r>
        <w:t>, at European, national and sub national levels</w:t>
      </w:r>
    </w:p>
    <w:p w:rsidR="0092010D" w:rsidRDefault="00844AE1" w:rsidP="001E7172">
      <w:pPr>
        <w:pStyle w:val="ListParagraph"/>
        <w:numPr>
          <w:ilvl w:val="0"/>
          <w:numId w:val="6"/>
        </w:numPr>
      </w:pPr>
      <w:r>
        <w:t>That “social partnership” is not universally recognised as a concept, and is not always seen as relevant to the age agenda</w:t>
      </w:r>
    </w:p>
    <w:p w:rsidR="00844AE1" w:rsidRDefault="00844AE1" w:rsidP="001E7172">
      <w:pPr>
        <w:pStyle w:val="ListParagraph"/>
        <w:numPr>
          <w:ilvl w:val="0"/>
          <w:numId w:val="6"/>
        </w:numPr>
      </w:pPr>
      <w:r>
        <w:t xml:space="preserve">That although there is a clear trend towards later retirement, and in three of the countries this is reflected in law (retirement ages, pension ages </w:t>
      </w:r>
      <w:proofErr w:type="spellStart"/>
      <w:r>
        <w:t>etc</w:t>
      </w:r>
      <w:proofErr w:type="spellEnd"/>
      <w:r>
        <w:t>) in many places there remains an early retirement culture which sets expectations and affects behaviour.</w:t>
      </w:r>
    </w:p>
    <w:p w:rsidR="00844AE1" w:rsidRDefault="00844AE1" w:rsidP="001E7172">
      <w:pPr>
        <w:pStyle w:val="ListParagraph"/>
        <w:numPr>
          <w:ilvl w:val="0"/>
          <w:numId w:val="6"/>
        </w:numPr>
      </w:pPr>
      <w:r>
        <w:t>The “productivity paradox” remains a concern. How far are older people less productive?</w:t>
      </w:r>
    </w:p>
    <w:p w:rsidR="00844AE1" w:rsidRDefault="00844AE1" w:rsidP="001E7172">
      <w:pPr>
        <w:pStyle w:val="ListParagraph"/>
        <w:numPr>
          <w:ilvl w:val="0"/>
          <w:numId w:val="6"/>
        </w:numPr>
      </w:pPr>
      <w:r>
        <w:t>There is a recognition that lifelong learning is important to enabling people to stay longer in work, but provi</w:t>
      </w:r>
      <w:r w:rsidR="001E7172">
        <w:t>sion to support this is limited (non-existent?)</w:t>
      </w:r>
    </w:p>
    <w:p w:rsidR="005A1A78" w:rsidRDefault="005A1A78" w:rsidP="00175DF2">
      <w:pPr>
        <w:pStyle w:val="Heading2"/>
      </w:pPr>
    </w:p>
    <w:p w:rsidR="00175DF2" w:rsidRDefault="00175DF2" w:rsidP="00175DF2">
      <w:pPr>
        <w:pStyle w:val="Heading2"/>
      </w:pPr>
      <w:bookmarkStart w:id="0" w:name="_GoBack"/>
      <w:bookmarkEnd w:id="0"/>
      <w:r>
        <w:t>What have we learned about change?</w:t>
      </w:r>
    </w:p>
    <w:p w:rsidR="0092010D" w:rsidRDefault="0092010D" w:rsidP="00E40A59">
      <w:pPr>
        <w:pStyle w:val="ListParagraph"/>
        <w:numPr>
          <w:ilvl w:val="0"/>
          <w:numId w:val="6"/>
        </w:numPr>
      </w:pPr>
      <w:r w:rsidRPr="0092010D">
        <w:t>Influence and communication</w:t>
      </w:r>
      <w:r w:rsidR="001E7172">
        <w:t xml:space="preserve"> – many of the people and organisations who are key to behaviour change are difficult to contact, and the roles and location of key players are very different in different countries.</w:t>
      </w:r>
    </w:p>
    <w:p w:rsidR="00175DF2" w:rsidRDefault="00175DF2" w:rsidP="00E40A59">
      <w:pPr>
        <w:pStyle w:val="ListParagraph"/>
        <w:numPr>
          <w:ilvl w:val="0"/>
          <w:numId w:val="6"/>
        </w:numPr>
      </w:pPr>
      <w:r>
        <w:t xml:space="preserve">Formal policy papers have limited impact on the ground. </w:t>
      </w:r>
    </w:p>
    <w:p w:rsidR="0092010D" w:rsidRDefault="0092010D" w:rsidP="00E40A59">
      <w:pPr>
        <w:pStyle w:val="ListParagraph"/>
        <w:numPr>
          <w:ilvl w:val="0"/>
          <w:numId w:val="6"/>
        </w:numPr>
      </w:pPr>
      <w:r>
        <w:t>Project</w:t>
      </w:r>
      <w:r w:rsidR="00175DF2">
        <w:t xml:space="preserve">s can be successful in terms of their formal indicators, without necessarily </w:t>
      </w:r>
      <w:r w:rsidR="00844AE1">
        <w:t>producing</w:t>
      </w:r>
      <w:r w:rsidR="00175DF2">
        <w:t xml:space="preserve"> change</w:t>
      </w:r>
      <w:r w:rsidR="001E7172">
        <w:t xml:space="preserve"> (publishing a report does not, in itself, produce change in behaviour)</w:t>
      </w:r>
    </w:p>
    <w:p w:rsidR="0092010D" w:rsidRDefault="00175DF2" w:rsidP="00E40A59">
      <w:pPr>
        <w:pStyle w:val="ListParagraph"/>
        <w:numPr>
          <w:ilvl w:val="0"/>
          <w:numId w:val="6"/>
        </w:numPr>
      </w:pPr>
      <w:r>
        <w:t>The l</w:t>
      </w:r>
      <w:r w:rsidR="0092010D">
        <w:t xml:space="preserve">anguage </w:t>
      </w:r>
      <w:r>
        <w:t xml:space="preserve">of “successful ageing”, </w:t>
      </w:r>
      <w:proofErr w:type="spellStart"/>
      <w:r>
        <w:t>etc</w:t>
      </w:r>
      <w:proofErr w:type="spellEnd"/>
      <w:r>
        <w:t xml:space="preserve"> is not always helpful in fostering understanding or encouraging implementation</w:t>
      </w:r>
    </w:p>
    <w:p w:rsidR="0092010D" w:rsidRDefault="0092010D" w:rsidP="00E40A59">
      <w:pPr>
        <w:pStyle w:val="ListParagraph"/>
        <w:numPr>
          <w:ilvl w:val="0"/>
          <w:numId w:val="6"/>
        </w:numPr>
      </w:pPr>
      <w:r>
        <w:t xml:space="preserve">Legislation </w:t>
      </w:r>
      <w:r w:rsidR="00175DF2">
        <w:t>can be effective in producing change in some contexts, sometimes through formal enforcement, at other times through cultural impact.</w:t>
      </w:r>
    </w:p>
    <w:p w:rsidR="0092010D" w:rsidRDefault="0092010D" w:rsidP="0092010D"/>
    <w:p w:rsidR="0092010D" w:rsidRDefault="0092010D" w:rsidP="001E7172">
      <w:pPr>
        <w:pStyle w:val="Heading2"/>
      </w:pPr>
      <w:r w:rsidRPr="0092010D">
        <w:lastRenderedPageBreak/>
        <w:t>Gaps and Next Steps?</w:t>
      </w:r>
    </w:p>
    <w:p w:rsidR="001E7172" w:rsidRDefault="001E7172" w:rsidP="0092010D">
      <w:r>
        <w:t xml:space="preserve">In your country, do you expect anything to change as a result of the project in relation to any of these </w:t>
      </w:r>
      <w:proofErr w:type="gramStart"/>
      <w:r>
        <w:t>issues:</w:t>
      </w:r>
      <w:proofErr w:type="gramEnd"/>
    </w:p>
    <w:p w:rsidR="001E7172" w:rsidRPr="0092010D" w:rsidRDefault="001E7172" w:rsidP="00E40A59">
      <w:pPr>
        <w:pStyle w:val="ListParagraph"/>
        <w:numPr>
          <w:ilvl w:val="0"/>
          <w:numId w:val="6"/>
        </w:numPr>
      </w:pPr>
      <w:r>
        <w:t>Recognition of ageing as an issue</w:t>
      </w:r>
    </w:p>
    <w:p w:rsidR="001E7172" w:rsidRPr="0092010D" w:rsidRDefault="001E7172" w:rsidP="00E40A59">
      <w:pPr>
        <w:pStyle w:val="ListParagraph"/>
        <w:numPr>
          <w:ilvl w:val="0"/>
          <w:numId w:val="6"/>
        </w:numPr>
      </w:pPr>
      <w:r>
        <w:t xml:space="preserve">The </w:t>
      </w:r>
      <w:r w:rsidRPr="0092010D">
        <w:t>balance of power in industrial relations</w:t>
      </w:r>
      <w:r>
        <w:t xml:space="preserve"> – shrinking workforce etc</w:t>
      </w:r>
      <w:proofErr w:type="gramStart"/>
      <w:r>
        <w:t>..</w:t>
      </w:r>
      <w:proofErr w:type="gramEnd"/>
    </w:p>
    <w:p w:rsidR="0092010D" w:rsidRPr="0092010D" w:rsidRDefault="001E7172" w:rsidP="00E40A59">
      <w:pPr>
        <w:pStyle w:val="ListParagraph"/>
        <w:numPr>
          <w:ilvl w:val="0"/>
          <w:numId w:val="6"/>
        </w:numPr>
      </w:pPr>
      <w:r>
        <w:t>L</w:t>
      </w:r>
      <w:r w:rsidR="0092010D" w:rsidRPr="0092010D">
        <w:t>ifelong learning</w:t>
      </w:r>
    </w:p>
    <w:p w:rsidR="0092010D" w:rsidRPr="0092010D" w:rsidRDefault="001E7172" w:rsidP="00E40A59">
      <w:pPr>
        <w:pStyle w:val="ListParagraph"/>
        <w:numPr>
          <w:ilvl w:val="0"/>
          <w:numId w:val="6"/>
        </w:numPr>
      </w:pPr>
      <w:r>
        <w:t>Behaviour of small firms</w:t>
      </w:r>
    </w:p>
    <w:p w:rsidR="0092010D" w:rsidRDefault="001E7172" w:rsidP="00E40A59">
      <w:pPr>
        <w:pStyle w:val="ListParagraph"/>
        <w:numPr>
          <w:ilvl w:val="0"/>
          <w:numId w:val="6"/>
        </w:numPr>
      </w:pPr>
      <w:r>
        <w:t>Behaviour of particular s</w:t>
      </w:r>
      <w:r w:rsidR="0092010D" w:rsidRPr="0092010D">
        <w:t>ector</w:t>
      </w:r>
      <w:r>
        <w:t>s</w:t>
      </w:r>
    </w:p>
    <w:p w:rsidR="001E7172" w:rsidRPr="0092010D" w:rsidRDefault="001E7172" w:rsidP="00E40A59">
      <w:pPr>
        <w:pStyle w:val="ListParagraph"/>
        <w:numPr>
          <w:ilvl w:val="0"/>
          <w:numId w:val="6"/>
        </w:numPr>
      </w:pPr>
      <w:r>
        <w:t>Inequality and discrimination</w:t>
      </w:r>
    </w:p>
    <w:p w:rsidR="0092010D" w:rsidRPr="0092010D" w:rsidRDefault="0092010D" w:rsidP="00E40A59">
      <w:pPr>
        <w:pStyle w:val="ListParagraph"/>
        <w:numPr>
          <w:ilvl w:val="0"/>
          <w:numId w:val="6"/>
        </w:numPr>
      </w:pPr>
      <w:r w:rsidRPr="0092010D">
        <w:t>Migration</w:t>
      </w:r>
    </w:p>
    <w:p w:rsidR="0092010D" w:rsidRPr="0092010D" w:rsidRDefault="0092010D" w:rsidP="00E40A59">
      <w:pPr>
        <w:pStyle w:val="ListParagraph"/>
        <w:numPr>
          <w:ilvl w:val="0"/>
          <w:numId w:val="6"/>
        </w:numPr>
      </w:pPr>
      <w:r w:rsidRPr="0092010D">
        <w:t>Career review</w:t>
      </w:r>
      <w:r w:rsidR="001E7172">
        <w:t>/advice</w:t>
      </w:r>
    </w:p>
    <w:p w:rsidR="0092010D" w:rsidRPr="0092010D" w:rsidRDefault="0092010D" w:rsidP="00E40A59">
      <w:pPr>
        <w:pStyle w:val="ListParagraph"/>
        <w:numPr>
          <w:ilvl w:val="0"/>
          <w:numId w:val="6"/>
        </w:numPr>
      </w:pPr>
      <w:r w:rsidRPr="0092010D">
        <w:t>Sharing good practice</w:t>
      </w:r>
      <w:r w:rsidR="001E7172">
        <w:t xml:space="preserve"> in age management</w:t>
      </w:r>
    </w:p>
    <w:p w:rsidR="0092010D" w:rsidRPr="0092010D" w:rsidRDefault="001E7172" w:rsidP="00E40A59">
      <w:pPr>
        <w:pStyle w:val="ListParagraph"/>
        <w:numPr>
          <w:ilvl w:val="0"/>
          <w:numId w:val="6"/>
        </w:numPr>
      </w:pPr>
      <w:r>
        <w:t>Legal frameworks</w:t>
      </w:r>
    </w:p>
    <w:p w:rsidR="0092010D" w:rsidRDefault="0092010D" w:rsidP="00E40A59">
      <w:pPr>
        <w:pStyle w:val="ListParagraph"/>
        <w:numPr>
          <w:ilvl w:val="0"/>
          <w:numId w:val="6"/>
        </w:numPr>
      </w:pPr>
      <w:r w:rsidRPr="0092010D">
        <w:t>Who pays</w:t>
      </w:r>
      <w:r w:rsidR="001E7172">
        <w:t xml:space="preserve"> for change</w:t>
      </w:r>
    </w:p>
    <w:p w:rsidR="0092010D" w:rsidRDefault="001E7172" w:rsidP="00E40A59">
      <w:pPr>
        <w:pStyle w:val="ListParagraph"/>
        <w:numPr>
          <w:ilvl w:val="0"/>
          <w:numId w:val="6"/>
        </w:numPr>
      </w:pPr>
      <w:r>
        <w:t>The f</w:t>
      </w:r>
      <w:r w:rsidR="0092010D" w:rsidRPr="0092010D">
        <w:t>uture of work</w:t>
      </w:r>
    </w:p>
    <w:p w:rsidR="0092010D" w:rsidRDefault="0092010D" w:rsidP="0092010D"/>
    <w:p w:rsidR="0092010D" w:rsidRDefault="0092010D" w:rsidP="0092010D"/>
    <w:sectPr w:rsidR="0092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63F"/>
    <w:multiLevelType w:val="hybridMultilevel"/>
    <w:tmpl w:val="52341486"/>
    <w:lvl w:ilvl="0" w:tplc="AC62BC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F3DF5"/>
    <w:multiLevelType w:val="hybridMultilevel"/>
    <w:tmpl w:val="219E0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0208E"/>
    <w:multiLevelType w:val="hybridMultilevel"/>
    <w:tmpl w:val="B5E8040A"/>
    <w:lvl w:ilvl="0" w:tplc="1B0AD0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6667"/>
    <w:multiLevelType w:val="hybridMultilevel"/>
    <w:tmpl w:val="9326A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4306F"/>
    <w:multiLevelType w:val="hybridMultilevel"/>
    <w:tmpl w:val="85C68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C236C"/>
    <w:multiLevelType w:val="hybridMultilevel"/>
    <w:tmpl w:val="C99CE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33E38"/>
    <w:multiLevelType w:val="hybridMultilevel"/>
    <w:tmpl w:val="535A1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E65E7A"/>
    <w:multiLevelType w:val="hybridMultilevel"/>
    <w:tmpl w:val="7FFE9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5531"/>
    <w:multiLevelType w:val="hybridMultilevel"/>
    <w:tmpl w:val="007AB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90B"/>
    <w:multiLevelType w:val="hybridMultilevel"/>
    <w:tmpl w:val="3B2098D6"/>
    <w:lvl w:ilvl="0" w:tplc="1B0AD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A34"/>
    <w:multiLevelType w:val="hybridMultilevel"/>
    <w:tmpl w:val="59906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0D"/>
    <w:rsid w:val="00046721"/>
    <w:rsid w:val="00055EBF"/>
    <w:rsid w:val="0006384B"/>
    <w:rsid w:val="00067C04"/>
    <w:rsid w:val="00076AF9"/>
    <w:rsid w:val="000A28A2"/>
    <w:rsid w:val="000C5DE4"/>
    <w:rsid w:val="000D2B12"/>
    <w:rsid w:val="0010081F"/>
    <w:rsid w:val="00175DF2"/>
    <w:rsid w:val="00176726"/>
    <w:rsid w:val="00194EC5"/>
    <w:rsid w:val="00195C08"/>
    <w:rsid w:val="001C30DB"/>
    <w:rsid w:val="001E7172"/>
    <w:rsid w:val="001E7BA6"/>
    <w:rsid w:val="002025EF"/>
    <w:rsid w:val="00210E0E"/>
    <w:rsid w:val="00216251"/>
    <w:rsid w:val="002930BC"/>
    <w:rsid w:val="002B15A3"/>
    <w:rsid w:val="002C65B9"/>
    <w:rsid w:val="002D2578"/>
    <w:rsid w:val="0031303E"/>
    <w:rsid w:val="00324869"/>
    <w:rsid w:val="003433DD"/>
    <w:rsid w:val="00361A4E"/>
    <w:rsid w:val="003E4099"/>
    <w:rsid w:val="003F7442"/>
    <w:rsid w:val="004124BE"/>
    <w:rsid w:val="00414D4C"/>
    <w:rsid w:val="0048637E"/>
    <w:rsid w:val="00490920"/>
    <w:rsid w:val="004D4860"/>
    <w:rsid w:val="004E16C0"/>
    <w:rsid w:val="005A1A78"/>
    <w:rsid w:val="00605224"/>
    <w:rsid w:val="006065C7"/>
    <w:rsid w:val="0068388E"/>
    <w:rsid w:val="00687687"/>
    <w:rsid w:val="006A392E"/>
    <w:rsid w:val="006B029F"/>
    <w:rsid w:val="006B44C3"/>
    <w:rsid w:val="006E5A9A"/>
    <w:rsid w:val="007353BF"/>
    <w:rsid w:val="00744307"/>
    <w:rsid w:val="007647C2"/>
    <w:rsid w:val="00797EA2"/>
    <w:rsid w:val="007B17D7"/>
    <w:rsid w:val="007D7168"/>
    <w:rsid w:val="00811C29"/>
    <w:rsid w:val="00831CF4"/>
    <w:rsid w:val="008404CB"/>
    <w:rsid w:val="00844AE1"/>
    <w:rsid w:val="00872ABC"/>
    <w:rsid w:val="00884581"/>
    <w:rsid w:val="00887014"/>
    <w:rsid w:val="008A1017"/>
    <w:rsid w:val="008A57D4"/>
    <w:rsid w:val="008D79EA"/>
    <w:rsid w:val="0092010D"/>
    <w:rsid w:val="009215F9"/>
    <w:rsid w:val="00924DE9"/>
    <w:rsid w:val="009438E6"/>
    <w:rsid w:val="009B2919"/>
    <w:rsid w:val="009C0115"/>
    <w:rsid w:val="00A20894"/>
    <w:rsid w:val="00A216BA"/>
    <w:rsid w:val="00A2412A"/>
    <w:rsid w:val="00A30D34"/>
    <w:rsid w:val="00A5668A"/>
    <w:rsid w:val="00A95BD0"/>
    <w:rsid w:val="00B669EF"/>
    <w:rsid w:val="00B76EED"/>
    <w:rsid w:val="00B775E8"/>
    <w:rsid w:val="00BA7AAB"/>
    <w:rsid w:val="00BD7A34"/>
    <w:rsid w:val="00C24CCB"/>
    <w:rsid w:val="00C35236"/>
    <w:rsid w:val="00CB3422"/>
    <w:rsid w:val="00CF3775"/>
    <w:rsid w:val="00D4054B"/>
    <w:rsid w:val="00D6224A"/>
    <w:rsid w:val="00DC34E0"/>
    <w:rsid w:val="00E167D4"/>
    <w:rsid w:val="00E25E59"/>
    <w:rsid w:val="00E355FD"/>
    <w:rsid w:val="00E40A59"/>
    <w:rsid w:val="00E84C19"/>
    <w:rsid w:val="00EA5142"/>
    <w:rsid w:val="00EA7009"/>
    <w:rsid w:val="00F2297A"/>
    <w:rsid w:val="00F5289D"/>
    <w:rsid w:val="00F6538A"/>
    <w:rsid w:val="00F6781D"/>
    <w:rsid w:val="00F82E43"/>
    <w:rsid w:val="00F83BB2"/>
    <w:rsid w:val="00F90BBF"/>
    <w:rsid w:val="00FD26B7"/>
    <w:rsid w:val="00FD5CB5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4D141-D8FB-4D6E-9ADF-523F86C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21"/>
    <w:pPr>
      <w:spacing w:before="60" w:after="60" w:line="240" w:lineRule="auto"/>
    </w:pPr>
    <w:rPr>
      <w:rFonts w:ascii="Calibri" w:eastAsiaTheme="minorEastAsia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5EF"/>
    <w:pPr>
      <w:keepNext/>
      <w:keepLines/>
      <w:spacing w:before="240" w:after="12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5EF"/>
    <w:pPr>
      <w:keepNext/>
      <w:keepLines/>
      <w:spacing w:before="240" w:after="12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5EF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5EF"/>
    <w:rPr>
      <w:rFonts w:ascii="Calibri" w:eastAsiaTheme="majorEastAsia" w:hAnsi="Calibri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25EF"/>
    <w:rPr>
      <w:rFonts w:ascii="Calibri" w:eastAsiaTheme="majorEastAsia" w:hAnsi="Calibr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5EF"/>
    <w:rPr>
      <w:rFonts w:asciiTheme="majorHAnsi" w:eastAsiaTheme="majorEastAsia" w:hAnsiTheme="majorHAnsi" w:cstheme="majorBidi"/>
      <w:b/>
      <w:i/>
      <w:sz w:val="26"/>
      <w:szCs w:val="24"/>
    </w:rPr>
  </w:style>
  <w:style w:type="paragraph" w:styleId="ListParagraph">
    <w:name w:val="List Paragraph"/>
    <w:basedOn w:val="Normal"/>
    <w:uiPriority w:val="34"/>
    <w:qFormat/>
    <w:rsid w:val="00E84C19"/>
    <w:pPr>
      <w:spacing w:before="120" w:after="12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8D79EA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79E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59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e@stephenmcnair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McNair</dc:creator>
  <cp:keywords/>
  <dc:description/>
  <cp:lastModifiedBy>Stephen McNair</cp:lastModifiedBy>
  <cp:revision>7</cp:revision>
  <cp:lastPrinted>2019-04-14T09:09:00Z</cp:lastPrinted>
  <dcterms:created xsi:type="dcterms:W3CDTF">2019-04-09T15:14:00Z</dcterms:created>
  <dcterms:modified xsi:type="dcterms:W3CDTF">2019-04-14T13:57:00Z</dcterms:modified>
</cp:coreProperties>
</file>