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19" w:rsidRPr="00C65035" w:rsidRDefault="009722AD" w:rsidP="00474B19">
      <w:pPr>
        <w:widowControl w:val="0"/>
        <w:tabs>
          <w:tab w:val="left" w:pos="4980"/>
        </w:tabs>
        <w:ind w:left="-644"/>
        <w:jc w:val="left"/>
        <w:rPr>
          <w:rFonts w:ascii="Arial" w:hAnsi="Arial" w:cs="Arial"/>
          <w:iCs/>
          <w:color w:val="808080"/>
          <w:szCs w:val="24"/>
        </w:rPr>
      </w:pPr>
      <w:r>
        <w:rPr>
          <w:rFonts w:ascii="Arial" w:hAnsi="Arial" w:cs="Arial"/>
          <w:iCs/>
          <w:color w:val="808080"/>
          <w:szCs w:val="24"/>
        </w:rPr>
        <w:t>21</w:t>
      </w:r>
      <w:r w:rsidR="00474B19" w:rsidRPr="00C65035">
        <w:rPr>
          <w:rFonts w:ascii="Arial" w:hAnsi="Arial" w:cs="Arial"/>
          <w:iCs/>
          <w:color w:val="808080"/>
          <w:szCs w:val="24"/>
        </w:rPr>
        <w:t xml:space="preserve"> ottobre 2013</w:t>
      </w:r>
    </w:p>
    <w:p w:rsidR="00474B19" w:rsidRPr="00C65035" w:rsidRDefault="00474B19" w:rsidP="00474B19">
      <w:pPr>
        <w:widowControl w:val="0"/>
        <w:tabs>
          <w:tab w:val="left" w:pos="4980"/>
        </w:tabs>
        <w:ind w:left="-644"/>
        <w:jc w:val="left"/>
        <w:rPr>
          <w:rFonts w:ascii="Arial" w:hAnsi="Arial" w:cs="Arial"/>
          <w:iCs/>
          <w:color w:val="808080"/>
          <w:sz w:val="44"/>
          <w:szCs w:val="44"/>
        </w:rPr>
      </w:pPr>
    </w:p>
    <w:p w:rsidR="00BC5180" w:rsidRPr="00EE3ECD" w:rsidRDefault="003E44C0" w:rsidP="00EE3ECD">
      <w:pPr>
        <w:pStyle w:val="WPTitoloWP"/>
        <w:ind w:left="-644"/>
        <w:rPr>
          <w:rFonts w:ascii="Arial" w:hAnsi="Arial" w:cs="Arial"/>
        </w:rPr>
      </w:pPr>
      <w:r w:rsidRPr="00EE3ECD">
        <w:rPr>
          <w:rFonts w:ascii="Arial" w:hAnsi="Arial" w:cs="Arial"/>
        </w:rPr>
        <w:t>Rassegna di dottrina</w:t>
      </w:r>
      <w:r w:rsidR="0085474E">
        <w:rPr>
          <w:rFonts w:ascii="Arial" w:hAnsi="Arial" w:cs="Arial"/>
        </w:rPr>
        <w:t xml:space="preserve"> italiana</w:t>
      </w:r>
    </w:p>
    <w:p w:rsidR="00876ACB" w:rsidRPr="00876ACB" w:rsidRDefault="00876ACB" w:rsidP="00EE3ECD">
      <w:pPr>
        <w:widowControl w:val="0"/>
        <w:tabs>
          <w:tab w:val="left" w:pos="4980"/>
        </w:tabs>
        <w:ind w:left="-644"/>
        <w:rPr>
          <w:rFonts w:ascii="Arial" w:hAnsi="Arial" w:cs="Arial"/>
          <w:iCs/>
          <w:color w:val="CC0000"/>
          <w:sz w:val="16"/>
          <w:szCs w:val="16"/>
        </w:rPr>
      </w:pPr>
    </w:p>
    <w:p w:rsidR="003E44C0" w:rsidRDefault="00EE3ECD" w:rsidP="00EE3ECD">
      <w:pPr>
        <w:widowControl w:val="0"/>
        <w:tabs>
          <w:tab w:val="left" w:pos="4980"/>
        </w:tabs>
        <w:ind w:left="-644"/>
        <w:rPr>
          <w:rFonts w:ascii="Arial" w:hAnsi="Arial" w:cs="Arial"/>
          <w:iCs/>
          <w:color w:val="CC0000"/>
          <w:sz w:val="44"/>
          <w:szCs w:val="44"/>
        </w:rPr>
      </w:pPr>
      <w:r w:rsidRPr="00EE3ECD">
        <w:rPr>
          <w:rFonts w:ascii="Arial" w:hAnsi="Arial" w:cs="Arial"/>
          <w:iCs/>
          <w:color w:val="CC0000"/>
          <w:sz w:val="44"/>
          <w:szCs w:val="44"/>
        </w:rPr>
        <w:t xml:space="preserve">a cura </w:t>
      </w:r>
      <w:r w:rsidR="003E44C0" w:rsidRPr="00EE3ECD">
        <w:rPr>
          <w:rFonts w:ascii="Arial" w:hAnsi="Arial" w:cs="Arial"/>
          <w:iCs/>
          <w:color w:val="CC0000"/>
          <w:sz w:val="44"/>
          <w:szCs w:val="44"/>
        </w:rPr>
        <w:t xml:space="preserve">di </w:t>
      </w:r>
      <w:r w:rsidR="009722AD">
        <w:rPr>
          <w:rFonts w:ascii="Arial" w:hAnsi="Arial" w:cs="Arial"/>
          <w:iCs/>
          <w:color w:val="CC0000"/>
          <w:sz w:val="44"/>
          <w:szCs w:val="44"/>
        </w:rPr>
        <w:t>Valeria Filippo</w:t>
      </w:r>
      <w:r w:rsidR="0072447E" w:rsidRPr="0072447E">
        <w:rPr>
          <w:rFonts w:ascii="Arial" w:hAnsi="Arial" w:cs="Arial"/>
          <w:iCs/>
          <w:color w:val="CC0000"/>
          <w:sz w:val="44"/>
          <w:szCs w:val="44"/>
        </w:rPr>
        <w:t xml:space="preserve">, </w:t>
      </w:r>
      <w:r w:rsidR="009722AD">
        <w:rPr>
          <w:rFonts w:ascii="Arial" w:hAnsi="Arial" w:cs="Arial"/>
          <w:iCs/>
          <w:color w:val="CC0000"/>
          <w:sz w:val="44"/>
          <w:szCs w:val="44"/>
        </w:rPr>
        <w:t>Flavia Pasquini</w:t>
      </w:r>
      <w:r w:rsidR="005D672B">
        <w:rPr>
          <w:rStyle w:val="Rimandonotaapidipagina"/>
          <w:rFonts w:ascii="Arial" w:hAnsi="Arial" w:cs="Arial"/>
          <w:iCs/>
          <w:color w:val="CC0000"/>
          <w:sz w:val="44"/>
          <w:szCs w:val="44"/>
        </w:rPr>
        <w:footnoteReference w:customMarkFollows="1" w:id="1"/>
        <w:t>*</w:t>
      </w:r>
    </w:p>
    <w:p w:rsidR="003E44C0" w:rsidRDefault="003E44C0" w:rsidP="00CD6604">
      <w:pPr>
        <w:pStyle w:val="WPTitoloparagrafo"/>
        <w:tabs>
          <w:tab w:val="clear" w:pos="567"/>
        </w:tabs>
      </w:pPr>
    </w:p>
    <w:p w:rsidR="003E44C0" w:rsidRDefault="003E44C0" w:rsidP="00CD6604">
      <w:pPr>
        <w:pStyle w:val="WPTitoloparagrafo"/>
        <w:tabs>
          <w:tab w:val="clear" w:pos="567"/>
        </w:tabs>
      </w:pPr>
    </w:p>
    <w:p w:rsidR="003E44C0" w:rsidRDefault="003E44C0" w:rsidP="00CD6604">
      <w:pPr>
        <w:pStyle w:val="WPTitoloparagrafo"/>
        <w:tabs>
          <w:tab w:val="clear" w:pos="567"/>
        </w:tabs>
      </w:pPr>
    </w:p>
    <w:p w:rsidR="003E44C0" w:rsidRDefault="003E44C0" w:rsidP="00CD6604">
      <w:pPr>
        <w:pStyle w:val="WPTitoloparagrafo"/>
        <w:tabs>
          <w:tab w:val="clear" w:pos="567"/>
        </w:tabs>
      </w:pPr>
    </w:p>
    <w:p w:rsidR="00A7587C" w:rsidRPr="00191081" w:rsidRDefault="0072447E" w:rsidP="00CD6604">
      <w:pPr>
        <w:pStyle w:val="WPTitoloparagrafo"/>
        <w:tabs>
          <w:tab w:val="clear" w:pos="567"/>
        </w:tabs>
        <w:rPr>
          <w:color w:val="CC0000"/>
        </w:rPr>
      </w:pPr>
      <w:r w:rsidRPr="00191081">
        <w:rPr>
          <w:color w:val="CC0000"/>
        </w:rPr>
        <w:t>Appalto</w:t>
      </w:r>
    </w:p>
    <w:p w:rsidR="00A7587C" w:rsidRDefault="00A7587C" w:rsidP="0072447E">
      <w:pPr>
        <w:spacing w:before="120" w:after="120"/>
        <w:ind w:left="426" w:hanging="426"/>
      </w:pP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Albi P., Interposizione illecita e organizzazione dei mezzi necessari secondo la l. n. 1</w:t>
      </w:r>
      <w:r w:rsidR="009722AD">
        <w:t>369/1960, in RIDL, 2003, 3, 536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Alvino I., Profili problematici della distinzione fra appalto e somministrazione nella recente giurisprudenza, in LG, 2011, 11 – Allegato 1, 20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Alvino I., La responsabilità solidale nell’appalto: legittimità costituzionale e ambito di applicazione, in RIDL, 2012, 3, 610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 xml:space="preserve">Asnaghi A., Appalti: norme da coordinare ed ampliare, in Boll. Adapt, 2011, n. 10, consultabile al sito </w:t>
      </w:r>
      <w:hyperlink r:id="rId7" w:history="1">
        <w:r w:rsidRPr="0072447E">
          <w:rPr>
            <w:rStyle w:val="Collegamentoipertestuale"/>
          </w:rPr>
          <w:t>www.adapt.it</w:t>
        </w:r>
      </w:hyperlink>
    </w:p>
    <w:p w:rsidR="0072447E" w:rsidRPr="0072447E" w:rsidRDefault="0072447E" w:rsidP="0072447E">
      <w:pPr>
        <w:spacing w:before="120" w:after="120"/>
        <w:ind w:left="426" w:hanging="426"/>
      </w:pPr>
      <w:r w:rsidRPr="0072447E">
        <w:t>Barbieri E. M., Appalto di servizi e somministrazione di lavoro, in MGL, 2006, 11, 863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Barraco E., Un nuovo oggetto di disciplina per l’art. 2112 c.c.: dal ramo d’azienda all’articolazione funzionalmente autonoma, in RIDL, 2006, I, 75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 xml:space="preserve">Benedetti G., Gli adempimenti di sicurezza sul lavoro nel contratto di appalto pubblico e privato, in Igiene e sicurezza del lavoro, 2011, 10, 696 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Bonardi O., La distinzione tra appalto e somministrazione di lavoro, prima e dopo la riforma, in GC, 2004, 4, 1011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Burragato G., Appalti, esternalizzazioni, trasferimenti di azienda: tendenze di inizio millennio, in LG, 2011, 11 – Allegato 1,</w:t>
      </w:r>
      <w:r w:rsidR="009722AD">
        <w:t xml:space="preserve"> </w:t>
      </w:r>
      <w:r w:rsidRPr="0072447E">
        <w:t>17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 xml:space="preserve">Calcaterra L., L’ambito oggettivo di applicazione del divieto di interposizione nelle prestazioni di lavoro: problemi e prospettive di riforma, in DL, 2003, 1-2, 69 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Calcaterra L., L'approccio al decentramento produttivo. Una retrospettiva e qualche riflessione, in MGL, 2003, 8, 602</w:t>
      </w:r>
    </w:p>
    <w:p w:rsidR="0072447E" w:rsidRPr="0072447E" w:rsidRDefault="0072447E" w:rsidP="0072447E">
      <w:pPr>
        <w:spacing w:before="120" w:after="120"/>
        <w:ind w:left="426" w:hanging="426"/>
        <w:rPr>
          <w:bCs/>
        </w:rPr>
      </w:pPr>
      <w:r w:rsidRPr="0072447E">
        <w:lastRenderedPageBreak/>
        <w:t>Calcaterra L.</w:t>
      </w:r>
      <w:r w:rsidRPr="0072447E">
        <w:rPr>
          <w:bCs/>
        </w:rPr>
        <w:t>,</w:t>
      </w:r>
      <w:r w:rsidRPr="0072447E">
        <w:rPr>
          <w:b/>
          <w:bCs/>
        </w:rPr>
        <w:t xml:space="preserve"> </w:t>
      </w:r>
      <w:r w:rsidRPr="0072447E">
        <w:t xml:space="preserve">Interposizione e appalto di servizi: la Cassazione anticipa la riforma, [Nota a] </w:t>
      </w:r>
      <w:r w:rsidRPr="0072447E">
        <w:rPr>
          <w:bCs/>
        </w:rPr>
        <w:t xml:space="preserve">Cass. 29 agosto 2003, n. 12664, in </w:t>
      </w:r>
      <w:r w:rsidRPr="0072447E">
        <w:t>RIDL</w:t>
      </w:r>
      <w:r w:rsidRPr="0072447E">
        <w:rPr>
          <w:bCs/>
        </w:rPr>
        <w:t>, 2004, 2, 48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rPr>
          <w:iCs/>
        </w:rPr>
        <w:t>Capurro F., Responsabilità solidale in materia retributiva: chi è il committente? cos'è l'appalto?</w:t>
      </w:r>
      <w:r w:rsidRPr="0072447E">
        <w:t>, in D&amp;L, 2011, 3, 696 (nota a Trib. Milano 7/3/2011 est. Atanasio, Trib. Milano 18/3/2011 est. Pattumelli, Trib. Milano 31/5/2011 est. Colosimo).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Capurro F., Appalto e subappalto, in D&amp;L, 2008, 2, 399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Carinci M.T., Utilizzazione e acquisizione indiretta del lavoro: somministrazione e distacco, appalto e subappalto, trasferimento d’azienda e di ramo: diritto del lavoro e nuove forme di organizzazione dell’impresa, Giappichelli, Torino, 2008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Carinci M.T., Appalti pubblici e privati: modelli organizzativi e di tutela, in LG, 2011, 11 – Allegato 1, 6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 xml:space="preserve">Carinci M.T., Gli appalti nel settore privato. La distinzione tra appalto e trasferimento d'azienda ed il trattamento dei lavoratori impiegati negli appalti, in </w:t>
      </w:r>
      <w:r w:rsidRPr="0072447E">
        <w:rPr>
          <w:iCs/>
        </w:rPr>
        <w:t>Il diritto del mercato del lavoro</w:t>
      </w:r>
      <w:r w:rsidRPr="0072447E">
        <w:t>, 2006, I, 425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Cautero S., Lizzi M., Rupil A., La certificazione dei contratti di lavoro – Contratti di appalto, in GL, 2005, 9, 83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Centamore G., L’obbligazione solidale del committente negli appalti con la Pubblica Amministrazione, in Lavoro nelle P.A., 2011, 3-4, 541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Corazza L., Appalti interni all’azienda: insufficienza del criterio topografico alla luce delle tecniche di esternalizzazione dell’impresa, in MGL , 1998</w:t>
      </w:r>
    </w:p>
    <w:p w:rsidR="0072447E" w:rsidRPr="0072447E" w:rsidRDefault="0072447E" w:rsidP="0072447E">
      <w:pPr>
        <w:spacing w:before="120" w:after="120"/>
        <w:ind w:left="426" w:hanging="426"/>
        <w:rPr>
          <w:iCs/>
        </w:rPr>
      </w:pPr>
      <w:r w:rsidRPr="0072447E">
        <w:t xml:space="preserve">Corazza L., </w:t>
      </w:r>
      <w:r w:rsidRPr="0072447E">
        <w:rPr>
          <w:iCs/>
        </w:rPr>
        <w:t>L’</w:t>
      </w:r>
      <w:r w:rsidRPr="0072447E">
        <w:t xml:space="preserve">outsourcing </w:t>
      </w:r>
      <w:r w:rsidRPr="0072447E">
        <w:rPr>
          <w:iCs/>
        </w:rPr>
        <w:t>negli Stati Uniti d’America. Spunti di comparazione alla luce dell’analisi economica del diritto</w:t>
      </w:r>
      <w:r w:rsidRPr="0072447E">
        <w:t xml:space="preserve">, in </w:t>
      </w:r>
      <w:r w:rsidRPr="0072447E">
        <w:rPr>
          <w:iCs/>
        </w:rPr>
        <w:t>I processi di esternalizzazione. Opportunità e vincoli giuridici</w:t>
      </w:r>
      <w:r w:rsidRPr="0072447E">
        <w:t>, Esi, Napoli, 2002, 183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De Luca Tamajo R., Le esternalizzazioni tra cessione di ramo d'azienda e rapporti di fornitura, in I processi di esternalizzazione, Opportunità e vincoli giuridici, Napoli, 2002, 48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 xml:space="preserve">De Luca Tamajo R., Diritto del lavoro e decentramento produttivo in una prospettiva comparata: scenari e strumenti in RIDL, 2007, 1, 3 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 xml:space="preserve">De Luca Tamajo R. – Paternò F., in </w:t>
      </w:r>
      <w:r w:rsidRPr="0072447E">
        <w:rPr>
          <w:iCs/>
        </w:rPr>
        <w:t>Commento all'art. 29, d.lgs. n. 276/2003</w:t>
      </w:r>
      <w:r w:rsidRPr="0072447E">
        <w:t xml:space="preserve">, in </w:t>
      </w:r>
      <w:r w:rsidRPr="0072447E">
        <w:rPr>
          <w:iCs/>
        </w:rPr>
        <w:t>Il nuovo mercato del lavoro. Commentario al d.lgs. 10 settembre 2003, n. 276</w:t>
      </w:r>
      <w:r w:rsidRPr="0072447E">
        <w:t>, in NLCC, 2007, 425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rPr>
          <w:bCs/>
        </w:rPr>
        <w:t>Del Punta R</w:t>
      </w:r>
      <w:r w:rsidRPr="0072447E">
        <w:t>., Problemi attuali e prospettive in tema di interposizione di manodopera , in Arg. dir. lav., 2002, 289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rPr>
          <w:bCs/>
        </w:rPr>
        <w:t>Del Punta R.</w:t>
      </w:r>
      <w:r w:rsidRPr="0072447E">
        <w:t xml:space="preserve">, Divieto di interposizione e responsabilità dell'interposto, </w:t>
      </w:r>
      <w:r w:rsidRPr="0072447E">
        <w:br/>
        <w:t xml:space="preserve">in DRI, 2007, 2, 503 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rPr>
          <w:bCs/>
        </w:rPr>
        <w:t>D'Oronzo A. V.</w:t>
      </w:r>
      <w:r w:rsidRPr="0072447E">
        <w:t xml:space="preserve">, Sulla distinzione fra interposizione e appalto di servizi a carattere continuativo in RIDL, 2003, 2, 255 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>Esposito M., Profili evolutivi dell’appalto di manodopera, in Giornale di diritto del lavoro e di relazioni industriali, 1999, n.2/3, 411</w:t>
      </w:r>
    </w:p>
    <w:p w:rsidR="0072447E" w:rsidRPr="0072447E" w:rsidRDefault="0072447E" w:rsidP="0072447E">
      <w:pPr>
        <w:spacing w:before="120" w:after="120"/>
        <w:ind w:left="426" w:hanging="426"/>
      </w:pPr>
      <w:r w:rsidRPr="0072447E">
        <w:t xml:space="preserve">Gamberini G., Venturi D., Responsabilità solidale nell’appalto: tu chiamale, se vuoi, semplificazioni, in Boll. Adapt, 2012, n. 13, consultabile al sito  </w:t>
      </w:r>
      <w:hyperlink r:id="rId8" w:history="1">
        <w:r w:rsidRPr="0072447E">
          <w:rPr>
            <w:rStyle w:val="Collegamentoipertestuale"/>
          </w:rPr>
          <w:t>www.adapt.it</w:t>
        </w:r>
      </w:hyperlink>
    </w:p>
    <w:p w:rsidR="0072447E" w:rsidRPr="0072447E" w:rsidRDefault="0072447E" w:rsidP="0072447E">
      <w:pPr>
        <w:spacing w:before="120" w:after="120"/>
        <w:ind w:left="426" w:hanging="426"/>
      </w:pPr>
      <w:r w:rsidRPr="0072447E">
        <w:lastRenderedPageBreak/>
        <w:t xml:space="preserve">Gamberini G., Venturi D., Appalto: responsabilità solidale incostituzionale?, in Boll. Adapt, 2012, n. 8, consultabile al sito </w:t>
      </w:r>
      <w:hyperlink r:id="rId9" w:history="1">
        <w:r w:rsidRPr="0072447E">
          <w:rPr>
            <w:rStyle w:val="Collegamentoipertestuale"/>
          </w:rPr>
          <w:t>www.adapt.it</w:t>
        </w:r>
      </w:hyperlink>
    </w:p>
    <w:p w:rsidR="0072447E" w:rsidRPr="0072447E" w:rsidRDefault="0072447E" w:rsidP="0072447E">
      <w:pPr>
        <w:spacing w:before="120" w:after="120"/>
        <w:ind w:left="426" w:hanging="426"/>
      </w:pPr>
      <w:r w:rsidRPr="0072447E">
        <w:t>Gasparre A., Appalto o somministrazione di manodopera? Contano le mansione svolte e l’esercizio del potere direttivo, in Diritto e giustizia, 2013, 0, 15</w:t>
      </w:r>
    </w:p>
    <w:p w:rsidR="006E3D12" w:rsidRDefault="0072447E" w:rsidP="0072447E">
      <w:pPr>
        <w:spacing w:before="120" w:after="120"/>
        <w:ind w:left="426" w:hanging="426"/>
      </w:pPr>
      <w:r w:rsidRPr="0072447E">
        <w:t xml:space="preserve">Guaglione L., </w:t>
      </w:r>
      <w:r w:rsidRPr="0072447E">
        <w:rPr>
          <w:iCs/>
        </w:rPr>
        <w:t>La disciplina degli appalti introaziendali ed il contenuto dell’obbligazione solidale</w:t>
      </w:r>
      <w:r w:rsidRPr="0072447E">
        <w:t>, in Mazzotta O., (a cura di</w:t>
      </w:r>
      <w:r w:rsidRPr="0072447E">
        <w:rPr>
          <w:iCs/>
        </w:rPr>
        <w:t>), Nuove tecnologie e rapporti tra imprese</w:t>
      </w:r>
      <w:r w:rsidRPr="0072447E">
        <w:t>, Giuffrè, Milano, 1990, 172</w:t>
      </w:r>
    </w:p>
    <w:p w:rsidR="0072447E" w:rsidRDefault="0072447E" w:rsidP="0072447E">
      <w:pPr>
        <w:spacing w:before="120" w:after="120"/>
        <w:ind w:left="426" w:hanging="426"/>
      </w:pPr>
      <w:r w:rsidRPr="0072447E">
        <w:rPr>
          <w:highlight w:val="yellow"/>
        </w:rPr>
        <w:t>............................</w:t>
      </w:r>
    </w:p>
    <w:p w:rsidR="00CD6604" w:rsidRDefault="00CD6604" w:rsidP="0072447E">
      <w:pPr>
        <w:spacing w:before="120" w:after="120"/>
        <w:ind w:left="426" w:hanging="426"/>
      </w:pPr>
    </w:p>
    <w:p w:rsidR="00CD6604" w:rsidRDefault="00CD6604" w:rsidP="0072447E">
      <w:pPr>
        <w:spacing w:before="120" w:after="120"/>
        <w:ind w:left="426" w:hanging="426"/>
      </w:pPr>
    </w:p>
    <w:p w:rsidR="00CD6604" w:rsidRPr="00191081" w:rsidRDefault="0072447E" w:rsidP="00CD6604">
      <w:pPr>
        <w:pStyle w:val="WPTitoloparagrafo"/>
        <w:tabs>
          <w:tab w:val="clear" w:pos="567"/>
        </w:tabs>
        <w:rPr>
          <w:color w:val="CC0000"/>
        </w:rPr>
      </w:pPr>
      <w:r w:rsidRPr="00191081">
        <w:rPr>
          <w:color w:val="CC0000"/>
        </w:rPr>
        <w:t>Associazione in partecipazione</w:t>
      </w:r>
    </w:p>
    <w:p w:rsidR="00CD6604" w:rsidRDefault="00CD6604" w:rsidP="00CD6604"/>
    <w:p w:rsidR="0072447E" w:rsidRDefault="0072447E" w:rsidP="0072447E">
      <w:pPr>
        <w:spacing w:before="120" w:after="120"/>
        <w:ind w:left="426" w:hanging="426"/>
      </w:pPr>
      <w:r>
        <w:t>Allamprese A., Associazione in partecipazione, in Ghezzi G. (a cura di), Il lavoro tra progresso e mercificazione, Commento critico al decreto legislativo n. 276 del 1.9.2003, Ediesse, 2004</w:t>
      </w:r>
    </w:p>
    <w:p w:rsidR="0072447E" w:rsidRDefault="0072447E" w:rsidP="0072447E">
      <w:pPr>
        <w:spacing w:before="120" w:after="120"/>
        <w:ind w:left="426" w:hanging="426"/>
      </w:pPr>
      <w:r>
        <w:t>Barbieri E. M., Considerazioni sulla associazione in partecipazione nella «riforma Biagi», in MGL, n. 5/2006, 318</w:t>
      </w:r>
    </w:p>
    <w:p w:rsidR="0072447E" w:rsidRDefault="0072447E" w:rsidP="0072447E">
      <w:pPr>
        <w:spacing w:before="120" w:after="120"/>
        <w:ind w:left="426" w:hanging="426"/>
      </w:pPr>
      <w:r>
        <w:t>Beghini V., L’associazione in partecipazione con apporto di attività lavorativa tra disciplina codicistica e D.lgs. n. 276 del 2003, in ADL, n.1/2007, 91</w:t>
      </w:r>
    </w:p>
    <w:p w:rsidR="0072447E" w:rsidRDefault="0072447E" w:rsidP="0072447E">
      <w:pPr>
        <w:spacing w:before="120" w:after="120"/>
        <w:ind w:left="426" w:hanging="426"/>
      </w:pPr>
      <w:r>
        <w:t>Bolego G., Lavoro subordinato e associazione in partecipazione con apporto di prestazione di lavoro: orientamenti giurisprudenziali e innovazioni legislative (nota a Cass. Sez. Lav., 10 giugno 2005, n. 12261), in ADL, n. 3/2006, 830</w:t>
      </w:r>
    </w:p>
    <w:p w:rsidR="0072447E" w:rsidRDefault="0072447E" w:rsidP="0072447E">
      <w:pPr>
        <w:spacing w:before="120" w:after="120"/>
        <w:ind w:left="426" w:hanging="426"/>
      </w:pPr>
      <w:r>
        <w:t>Bonati G., Maternità, malattia e Anf per associati in partecipazione, in GL, n. 35/2005, 67</w:t>
      </w:r>
    </w:p>
    <w:p w:rsidR="0072447E" w:rsidRDefault="0072447E" w:rsidP="0072447E">
      <w:pPr>
        <w:spacing w:before="120" w:after="120"/>
        <w:ind w:left="426" w:hanging="426"/>
      </w:pPr>
      <w:r>
        <w:t>Bubola G., Osservatorio di giurisprudenza italiana – la Corte d’Appello di Bologna si pronuncia sul tema degli elementi essenziali della associazione in partecipazione (Nota a App. Bologna 22 ottobre 2007, n. 450), in DRI, n.4/2008, 1157</w:t>
      </w:r>
    </w:p>
    <w:p w:rsidR="00AA67A6" w:rsidRDefault="0072447E" w:rsidP="0072447E">
      <w:pPr>
        <w:spacing w:before="120" w:after="120"/>
        <w:ind w:left="426" w:hanging="426"/>
      </w:pPr>
      <w:r>
        <w:t>Caponetti S., Problemi qualificatori in tema di associazione in partecipazione con apporto di attività lavorativa (Nota a Cass. 8 febbraio 2010, n. 2728), in ADL, n.4-5/2010, 946</w:t>
      </w:r>
    </w:p>
    <w:p w:rsidR="00191081" w:rsidRDefault="00191081" w:rsidP="00191081">
      <w:pPr>
        <w:spacing w:before="120" w:after="120"/>
        <w:ind w:left="426" w:hanging="426"/>
      </w:pPr>
      <w:r w:rsidRPr="0072447E">
        <w:rPr>
          <w:highlight w:val="yellow"/>
        </w:rPr>
        <w:t>............................</w:t>
      </w:r>
    </w:p>
    <w:p w:rsidR="00191081" w:rsidRDefault="00191081" w:rsidP="00191081">
      <w:pPr>
        <w:spacing w:before="120" w:after="120"/>
        <w:ind w:left="426" w:hanging="426"/>
      </w:pPr>
    </w:p>
    <w:p w:rsidR="00191081" w:rsidRDefault="00191081" w:rsidP="00191081">
      <w:pPr>
        <w:spacing w:before="120" w:after="120"/>
        <w:ind w:left="426" w:hanging="426"/>
      </w:pPr>
    </w:p>
    <w:p w:rsidR="00191081" w:rsidRPr="00191081" w:rsidRDefault="00191081" w:rsidP="00191081">
      <w:pPr>
        <w:pStyle w:val="WPTitoloparagrafo"/>
        <w:tabs>
          <w:tab w:val="clear" w:pos="567"/>
        </w:tabs>
        <w:rPr>
          <w:color w:val="CC0000"/>
        </w:rPr>
      </w:pPr>
      <w:r>
        <w:rPr>
          <w:color w:val="CC0000"/>
        </w:rPr>
        <w:t>Xxxxxxxxxxx</w:t>
      </w:r>
    </w:p>
    <w:p w:rsidR="00191081" w:rsidRDefault="00191081" w:rsidP="00191081"/>
    <w:p w:rsidR="00191081" w:rsidRDefault="00191081" w:rsidP="00191081">
      <w:pPr>
        <w:spacing w:before="120" w:after="120"/>
        <w:ind w:left="426" w:hanging="426"/>
      </w:pPr>
      <w:r>
        <w:t>Xxxxxxxxxxxxxxxxxxxxxxxxxxxxxxxxxxxxxxxxxxxxxxxxxxxxxxxxxxxxxxxxxxxxxxxxxxxxxxxxxxxxxxxxxxxxxxxxxxxxxxxxxxxxxxxxxxxxxxxxxx</w:t>
      </w:r>
    </w:p>
    <w:p w:rsidR="00191081" w:rsidRPr="00AA67A6" w:rsidRDefault="00191081" w:rsidP="0072447E">
      <w:pPr>
        <w:spacing w:before="120" w:after="120"/>
        <w:ind w:left="426" w:hanging="426"/>
      </w:pPr>
    </w:p>
    <w:sectPr w:rsidR="00191081" w:rsidRPr="00AA67A6" w:rsidSect="0035390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1134" w:footer="9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5F" w:rsidRDefault="0091675F" w:rsidP="00617D50">
      <w:r>
        <w:separator/>
      </w:r>
    </w:p>
  </w:endnote>
  <w:endnote w:type="continuationSeparator" w:id="0">
    <w:p w:rsidR="0091675F" w:rsidRDefault="0091675F" w:rsidP="0061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03" w:rsidRDefault="00353903" w:rsidP="00353903">
    <w:pPr>
      <w:pStyle w:val="Pidipagina"/>
      <w:tabs>
        <w:tab w:val="clear" w:pos="4819"/>
        <w:tab w:val="clear" w:pos="9638"/>
        <w:tab w:val="right" w:pos="8505"/>
      </w:tabs>
      <w:jc w:val="center"/>
    </w:pPr>
    <w:r>
      <w:t>www.bollettinoadapt.it</w:t>
    </w:r>
    <w:r>
      <w:tab/>
    </w:r>
    <w:r w:rsidR="003770F8" w:rsidRPr="00353903">
      <w:rPr>
        <w:color w:val="CC0000"/>
      </w:rPr>
      <w:fldChar w:fldCharType="begin"/>
    </w:r>
    <w:r w:rsidRPr="00353903">
      <w:rPr>
        <w:color w:val="CC0000"/>
      </w:rPr>
      <w:instrText xml:space="preserve"> PAGE   \* MERGEFORMAT </w:instrText>
    </w:r>
    <w:r w:rsidR="003770F8" w:rsidRPr="00353903">
      <w:rPr>
        <w:color w:val="CC0000"/>
      </w:rPr>
      <w:fldChar w:fldCharType="separate"/>
    </w:r>
    <w:r w:rsidR="009722AD">
      <w:rPr>
        <w:noProof/>
        <w:color w:val="CC0000"/>
      </w:rPr>
      <w:t>2</w:t>
    </w:r>
    <w:r w:rsidR="003770F8" w:rsidRPr="00353903">
      <w:rPr>
        <w:color w:val="CC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65" w:rsidRDefault="003770F8" w:rsidP="00353903">
    <w:pPr>
      <w:pStyle w:val="Pidipagina"/>
      <w:tabs>
        <w:tab w:val="clear" w:pos="4819"/>
        <w:tab w:val="clear" w:pos="9638"/>
        <w:tab w:val="right" w:pos="8505"/>
      </w:tabs>
      <w:jc w:val="center"/>
    </w:pPr>
    <w:r w:rsidRPr="00353903">
      <w:rPr>
        <w:color w:val="CC0000"/>
      </w:rPr>
      <w:fldChar w:fldCharType="begin"/>
    </w:r>
    <w:r w:rsidR="00353903" w:rsidRPr="00353903">
      <w:rPr>
        <w:color w:val="CC0000"/>
      </w:rPr>
      <w:instrText xml:space="preserve"> PAGE   \* MERGEFORMAT </w:instrText>
    </w:r>
    <w:r w:rsidRPr="00353903">
      <w:rPr>
        <w:color w:val="CC0000"/>
      </w:rPr>
      <w:fldChar w:fldCharType="separate"/>
    </w:r>
    <w:r w:rsidR="009722AD">
      <w:rPr>
        <w:noProof/>
        <w:color w:val="CC0000"/>
      </w:rPr>
      <w:t>3</w:t>
    </w:r>
    <w:r w:rsidRPr="00353903">
      <w:rPr>
        <w:color w:val="CC0000"/>
      </w:rPr>
      <w:fldChar w:fldCharType="end"/>
    </w:r>
    <w:r w:rsidR="00353903">
      <w:tab/>
      <w:t>www.bollettinoadapt.it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BA" w:rsidRPr="00C60ABE" w:rsidRDefault="003934BA" w:rsidP="00C60ABE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5F" w:rsidRPr="00C65035" w:rsidRDefault="0091675F" w:rsidP="00617D50">
      <w:pPr>
        <w:rPr>
          <w:color w:val="A6A6A6"/>
        </w:rPr>
      </w:pPr>
      <w:r w:rsidRPr="00C65035">
        <w:rPr>
          <w:color w:val="A6A6A6"/>
        </w:rPr>
        <w:separator/>
      </w:r>
    </w:p>
  </w:footnote>
  <w:footnote w:type="continuationSeparator" w:id="0">
    <w:p w:rsidR="0091675F" w:rsidRPr="00C65035" w:rsidRDefault="0091675F" w:rsidP="00C77B4B">
      <w:pPr>
        <w:rPr>
          <w:color w:val="A6A6A6"/>
        </w:rPr>
      </w:pPr>
      <w:r w:rsidRPr="00C65035">
        <w:rPr>
          <w:color w:val="A6A6A6"/>
        </w:rPr>
        <w:separator/>
      </w:r>
    </w:p>
  </w:footnote>
  <w:footnote w:id="1">
    <w:p w:rsidR="005D672B" w:rsidRPr="005D672B" w:rsidRDefault="005D672B">
      <w:pPr>
        <w:pStyle w:val="Testonotaapidipagina"/>
      </w:pPr>
      <w:r w:rsidRPr="002326A0">
        <w:rPr>
          <w:rStyle w:val="Rimandonotaapidipagina"/>
        </w:rPr>
        <w:t>*</w:t>
      </w:r>
      <w:r w:rsidRPr="002326A0">
        <w:t xml:space="preserve"> Qualifiche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BE" w:rsidRDefault="009722AD" w:rsidP="00C60AB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70485</wp:posOffset>
          </wp:positionV>
          <wp:extent cx="1005205" cy="314325"/>
          <wp:effectExtent l="19050" t="0" r="4445" b="0"/>
          <wp:wrapNone/>
          <wp:docPr id="54" name="Immagine 2" descr="Descrizione: C:\Documents and Settings\laura\Documenti\Dropbox\ADAPT\Grafica\Loghi\01_ADAPT\ADA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:\Documents and Settings\laura\Documenti\Dropbox\ADAPT\Grafica\Loghi\01_ADAPT\ADA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B4C">
      <w:rPr>
        <w:noProof/>
        <w:lang w:eastAsia="it-IT"/>
      </w:rPr>
      <w:pict>
        <v:rect id="_x0000_s2099" style="position:absolute;left:0;text-align:left;margin-left:49.75pt;margin-top:6.3pt;width:460.65pt;height:18.45pt;z-index:251658240;mso-wrap-distance-left:2.88pt;mso-wrap-distance-top:2.88pt;mso-wrap-distance-right:2.88pt;mso-wrap-distance-bottom:2.88pt;mso-position-horizontal-relative:text;mso-position-vertical-relative:text" fillcolor="#c00" stroked="f">
          <v:shadow color="#ccc"/>
          <v:textbox inset="2.88pt,2.88pt,2.88pt,2.88pt"/>
        </v:rect>
      </w:pict>
    </w:r>
    <w:r w:rsidR="003C5B4C">
      <w:rPr>
        <w:noProof/>
        <w:lang w:eastAsia="it-IT"/>
      </w:rPr>
      <w:pict>
        <v:rect id="_x0000_s2098" style="position:absolute;left:0;text-align:left;margin-left:-84.9pt;margin-top:6.3pt;width:49.6pt;height:18.65pt;z-index:251657216;mso-wrap-distance-left:2.88pt;mso-wrap-distance-top:2.88pt;mso-wrap-distance-right:2.88pt;mso-wrap-distance-bottom:2.88pt;mso-position-horizontal-relative:text;mso-position-vertical-relative:text" fillcolor="#c00" stroked="f">
          <v:shadow color="#ccc"/>
          <v:textbox inset="2.88pt,2.88pt,2.88pt,2.88pt"/>
        </v:rect>
      </w:pict>
    </w:r>
  </w:p>
  <w:p w:rsidR="00C60ABE" w:rsidRDefault="00C60ABE" w:rsidP="00C60ABE">
    <w:pPr>
      <w:pStyle w:val="Intestazione"/>
    </w:pPr>
  </w:p>
  <w:p w:rsidR="00C60ABE" w:rsidRDefault="003C5B4C" w:rsidP="00C60ABE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-31.05pt;margin-top:12.75pt;width:498.95pt;height:11.8pt;z-index:251656192;mso-wrap-distance-left:2.88pt;mso-wrap-distance-top:2.88pt;mso-wrap-distance-right:2.88pt;mso-wrap-distance-bottom:2.88pt" filled="f" stroked="f">
          <v:shadow color="#ccc"/>
          <v:textbox inset="0,0,0,0">
            <w:txbxContent>
              <w:p w:rsidR="00C60ABE" w:rsidRPr="008C5612" w:rsidRDefault="00C60ABE" w:rsidP="00C60ABE">
                <w:pPr>
                  <w:widowControl w:val="0"/>
                  <w:rPr>
                    <w:rFonts w:ascii="Arial" w:hAnsi="Arial" w:cs="Arial"/>
                    <w:spacing w:val="38"/>
                    <w:sz w:val="13"/>
                    <w:szCs w:val="13"/>
                  </w:rPr>
                </w:pPr>
                <w:r w:rsidRPr="008C5612">
                  <w:rPr>
                    <w:rFonts w:ascii="Arial" w:hAnsi="Arial" w:cs="Arial"/>
                    <w:color w:val="CC0000"/>
                    <w:spacing w:val="38"/>
                    <w:sz w:val="13"/>
                    <w:szCs w:val="13"/>
                  </w:rPr>
                  <w:t>Associazione per gli Studi Internazionali e Comparati sul Diritto del lavoro e sulle Relazi</w:t>
                </w:r>
                <w:r w:rsidR="00DA7D50" w:rsidRPr="008C5612">
                  <w:rPr>
                    <w:rFonts w:ascii="Arial" w:hAnsi="Arial" w:cs="Arial"/>
                    <w:color w:val="CC0000"/>
                    <w:spacing w:val="38"/>
                    <w:sz w:val="13"/>
                    <w:szCs w:val="13"/>
                  </w:rPr>
                  <w:t>oni i</w:t>
                </w:r>
                <w:r w:rsidR="008C5612" w:rsidRPr="008C5612">
                  <w:rPr>
                    <w:rFonts w:ascii="Arial" w:hAnsi="Arial" w:cs="Arial"/>
                    <w:color w:val="CC0000"/>
                    <w:spacing w:val="38"/>
                    <w:sz w:val="13"/>
                    <w:szCs w:val="13"/>
                  </w:rPr>
                  <w:t>ndustriali</w:t>
                </w:r>
                <w:r w:rsidR="008C5612">
                  <w:rPr>
                    <w:rFonts w:ascii="Arial" w:hAnsi="Arial" w:cs="Arial"/>
                    <w:color w:val="CC0000"/>
                    <w:spacing w:val="38"/>
                    <w:sz w:val="13"/>
                    <w:szCs w:val="13"/>
                  </w:rPr>
                  <w:br/>
                </w:r>
              </w:p>
            </w:txbxContent>
          </v:textbox>
        </v:shape>
      </w:pict>
    </w:r>
  </w:p>
  <w:p w:rsidR="00C60ABE" w:rsidRDefault="00C60ABE" w:rsidP="00C60ABE">
    <w:pPr>
      <w:pStyle w:val="Intestazione"/>
    </w:pPr>
  </w:p>
  <w:p w:rsidR="00C60ABE" w:rsidRDefault="00C60ABE" w:rsidP="00C60ABE">
    <w:pPr>
      <w:pStyle w:val="Intestazione"/>
    </w:pPr>
  </w:p>
  <w:p w:rsidR="00C60ABE" w:rsidRPr="00C60ABE" w:rsidRDefault="00C60ABE" w:rsidP="00C60A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87C"/>
    <w:rsid w:val="00013EA6"/>
    <w:rsid w:val="00021AFF"/>
    <w:rsid w:val="000A4C15"/>
    <w:rsid w:val="000F4573"/>
    <w:rsid w:val="00103DCF"/>
    <w:rsid w:val="001336B8"/>
    <w:rsid w:val="00140BEC"/>
    <w:rsid w:val="00191081"/>
    <w:rsid w:val="001960A1"/>
    <w:rsid w:val="00197406"/>
    <w:rsid w:val="001A6265"/>
    <w:rsid w:val="001B3F18"/>
    <w:rsid w:val="001B58D5"/>
    <w:rsid w:val="001C6DAD"/>
    <w:rsid w:val="002302A5"/>
    <w:rsid w:val="0023033C"/>
    <w:rsid w:val="002326A0"/>
    <w:rsid w:val="00233FCA"/>
    <w:rsid w:val="00256738"/>
    <w:rsid w:val="00280B79"/>
    <w:rsid w:val="00286CC3"/>
    <w:rsid w:val="002C064B"/>
    <w:rsid w:val="00353903"/>
    <w:rsid w:val="003544D5"/>
    <w:rsid w:val="003770F8"/>
    <w:rsid w:val="003934BA"/>
    <w:rsid w:val="003B7142"/>
    <w:rsid w:val="003C5B4C"/>
    <w:rsid w:val="003D42FD"/>
    <w:rsid w:val="003E44C0"/>
    <w:rsid w:val="00416544"/>
    <w:rsid w:val="004318F4"/>
    <w:rsid w:val="00463B67"/>
    <w:rsid w:val="00474B19"/>
    <w:rsid w:val="0050456A"/>
    <w:rsid w:val="00514B35"/>
    <w:rsid w:val="00515B93"/>
    <w:rsid w:val="00582CFC"/>
    <w:rsid w:val="005B5359"/>
    <w:rsid w:val="005D672B"/>
    <w:rsid w:val="00617D50"/>
    <w:rsid w:val="0063727C"/>
    <w:rsid w:val="00642849"/>
    <w:rsid w:val="00653E32"/>
    <w:rsid w:val="006557A6"/>
    <w:rsid w:val="00674B8E"/>
    <w:rsid w:val="006E3D12"/>
    <w:rsid w:val="00714AC5"/>
    <w:rsid w:val="0072447E"/>
    <w:rsid w:val="007B0979"/>
    <w:rsid w:val="007B2635"/>
    <w:rsid w:val="00805855"/>
    <w:rsid w:val="008537C0"/>
    <w:rsid w:val="0085474E"/>
    <w:rsid w:val="00876ACB"/>
    <w:rsid w:val="008C5612"/>
    <w:rsid w:val="0091675F"/>
    <w:rsid w:val="009722AD"/>
    <w:rsid w:val="0099419E"/>
    <w:rsid w:val="00A37459"/>
    <w:rsid w:val="00A6489B"/>
    <w:rsid w:val="00A66E7A"/>
    <w:rsid w:val="00A67A87"/>
    <w:rsid w:val="00A7587C"/>
    <w:rsid w:val="00A86BAB"/>
    <w:rsid w:val="00AA1A01"/>
    <w:rsid w:val="00AA4F38"/>
    <w:rsid w:val="00AA67A6"/>
    <w:rsid w:val="00B14B40"/>
    <w:rsid w:val="00B151E8"/>
    <w:rsid w:val="00B32625"/>
    <w:rsid w:val="00B3677F"/>
    <w:rsid w:val="00B60C14"/>
    <w:rsid w:val="00B70417"/>
    <w:rsid w:val="00BC5180"/>
    <w:rsid w:val="00C14769"/>
    <w:rsid w:val="00C16F70"/>
    <w:rsid w:val="00C60ABE"/>
    <w:rsid w:val="00C65035"/>
    <w:rsid w:val="00C72941"/>
    <w:rsid w:val="00C732E6"/>
    <w:rsid w:val="00C77B4B"/>
    <w:rsid w:val="00CC4DAE"/>
    <w:rsid w:val="00CD6604"/>
    <w:rsid w:val="00CF54D6"/>
    <w:rsid w:val="00D24F18"/>
    <w:rsid w:val="00D272C9"/>
    <w:rsid w:val="00D52C78"/>
    <w:rsid w:val="00DA7D50"/>
    <w:rsid w:val="00DE79A7"/>
    <w:rsid w:val="00E63F85"/>
    <w:rsid w:val="00E86207"/>
    <w:rsid w:val="00EC68D9"/>
    <w:rsid w:val="00EE3ECD"/>
    <w:rsid w:val="00F7464A"/>
    <w:rsid w:val="00F82A99"/>
    <w:rsid w:val="00F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C5180"/>
    <w:pPr>
      <w:jc w:val="both"/>
    </w:pPr>
    <w:rPr>
      <w:rFonts w:ascii="Times New Roman" w:hAnsi="Times New Roman"/>
      <w:color w:val="1E2F48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PTitoloparagrafo">
    <w:name w:val="WP Titolo paragrafo"/>
    <w:rsid w:val="006E3D12"/>
    <w:pPr>
      <w:tabs>
        <w:tab w:val="left" w:pos="567"/>
      </w:tabs>
      <w:jc w:val="both"/>
    </w:pPr>
    <w:rPr>
      <w:rFonts w:ascii="Times New Roman" w:hAnsi="Times New Roman"/>
      <w:b/>
      <w:color w:val="7F7F7F"/>
      <w:sz w:val="32"/>
      <w:szCs w:val="32"/>
      <w:lang w:eastAsia="en-US"/>
    </w:rPr>
  </w:style>
  <w:style w:type="paragraph" w:customStyle="1" w:styleId="WPTesto">
    <w:name w:val="WP Testo"/>
    <w:rsid w:val="00A7587C"/>
    <w:pPr>
      <w:jc w:val="both"/>
    </w:pPr>
    <w:rPr>
      <w:rFonts w:ascii="Times New Roman" w:hAnsi="Times New Roman"/>
      <w:color w:val="1E2F48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7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7D50"/>
    <w:rPr>
      <w:rFonts w:ascii="Times New Roman" w:hAnsi="Times New Roman"/>
      <w:color w:val="1E2F48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53903"/>
    <w:pPr>
      <w:tabs>
        <w:tab w:val="center" w:pos="4819"/>
        <w:tab w:val="right" w:pos="9638"/>
      </w:tabs>
    </w:pPr>
    <w:rPr>
      <w:rFonts w:ascii="Arial" w:hAnsi="Arial"/>
      <w:color w:val="808080"/>
      <w:sz w:val="18"/>
    </w:rPr>
  </w:style>
  <w:style w:type="character" w:customStyle="1" w:styleId="PidipaginaCarattere">
    <w:name w:val="Piè di pagina Carattere"/>
    <w:link w:val="Pidipagina"/>
    <w:uiPriority w:val="99"/>
    <w:rsid w:val="00353903"/>
    <w:rPr>
      <w:rFonts w:ascii="Arial" w:hAnsi="Arial"/>
      <w:color w:val="80808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4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34BA"/>
    <w:rPr>
      <w:rFonts w:ascii="Tahoma" w:hAnsi="Tahoma" w:cs="Tahoma"/>
      <w:color w:val="1E2F48"/>
      <w:sz w:val="16"/>
      <w:szCs w:val="16"/>
    </w:rPr>
  </w:style>
  <w:style w:type="table" w:styleId="Grigliatabella">
    <w:name w:val="Table Grid"/>
    <w:basedOn w:val="Tabellanormale"/>
    <w:uiPriority w:val="59"/>
    <w:rsid w:val="0039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TitoloWP">
    <w:name w:val="WP Titolo WP"/>
    <w:basedOn w:val="Normale"/>
    <w:rsid w:val="008C5612"/>
    <w:pPr>
      <w:widowControl w:val="0"/>
    </w:pPr>
    <w:rPr>
      <w:color w:val="CC0000"/>
      <w:sz w:val="72"/>
      <w:szCs w:val="72"/>
    </w:rPr>
  </w:style>
  <w:style w:type="paragraph" w:customStyle="1" w:styleId="WPNomeautore">
    <w:name w:val="WP Nome autore"/>
    <w:basedOn w:val="Normale"/>
    <w:rsid w:val="0099419E"/>
    <w:pPr>
      <w:widowControl w:val="0"/>
    </w:pPr>
    <w:rPr>
      <w:iCs/>
      <w:color w:val="CC0000"/>
      <w:sz w:val="44"/>
      <w:szCs w:val="4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E3D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E3D12"/>
    <w:rPr>
      <w:rFonts w:ascii="Times New Roman" w:hAnsi="Times New Roman"/>
      <w:color w:val="1E2F48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E3D12"/>
    <w:rPr>
      <w:vertAlign w:val="superscript"/>
    </w:rPr>
  </w:style>
  <w:style w:type="paragraph" w:customStyle="1" w:styleId="WPNoteapidipagina">
    <w:name w:val="WP Note a piè di pagina"/>
    <w:basedOn w:val="Testonotaapidipagina"/>
    <w:rsid w:val="00CD6604"/>
    <w:rPr>
      <w:color w:val="7F7F7F"/>
    </w:rPr>
  </w:style>
  <w:style w:type="paragraph" w:customStyle="1" w:styleId="WPQualificaautore">
    <w:name w:val="WP Qualifica autore"/>
    <w:link w:val="WPQualificaautoreCarattere"/>
    <w:rsid w:val="00AA67A6"/>
    <w:pPr>
      <w:jc w:val="right"/>
    </w:pPr>
    <w:rPr>
      <w:rFonts w:ascii="Times New Roman" w:hAnsi="Times New Roman"/>
      <w:color w:val="A6A6A6"/>
      <w:lang w:eastAsia="en-US"/>
    </w:rPr>
  </w:style>
  <w:style w:type="paragraph" w:customStyle="1" w:styleId="WPFirma">
    <w:name w:val="WP Firma"/>
    <w:basedOn w:val="Normale"/>
    <w:link w:val="WPFirmaCarattere"/>
    <w:qFormat/>
    <w:rsid w:val="00AA67A6"/>
    <w:pPr>
      <w:jc w:val="right"/>
    </w:pPr>
    <w:rPr>
      <w:b/>
      <w:i/>
      <w:color w:val="A6A6A6"/>
    </w:rPr>
  </w:style>
  <w:style w:type="character" w:customStyle="1" w:styleId="WPQualificaautoreCarattere">
    <w:name w:val="WP Qualifica autore Carattere"/>
    <w:link w:val="WPQualificaautore"/>
    <w:rsid w:val="00AA67A6"/>
    <w:rPr>
      <w:rFonts w:ascii="Times New Roman" w:hAnsi="Times New Roman" w:cs="Times New Roman"/>
      <w:color w:val="A6A6A6"/>
      <w:sz w:val="20"/>
      <w:szCs w:val="20"/>
    </w:rPr>
  </w:style>
  <w:style w:type="character" w:customStyle="1" w:styleId="WPFirmaCarattere">
    <w:name w:val="WP Firma Carattere"/>
    <w:basedOn w:val="WPQualificaautoreCarattere"/>
    <w:link w:val="WPFirma"/>
    <w:rsid w:val="00AA67A6"/>
  </w:style>
  <w:style w:type="character" w:styleId="Collegamentoipertestuale">
    <w:name w:val="Hyperlink"/>
    <w:uiPriority w:val="99"/>
    <w:unhideWhenUsed/>
    <w:rsid w:val="00724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apt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ap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9D95-13C2-447D-BF9D-05742047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wp_01_b</vt:lpstr>
    </vt:vector>
  </TitlesOfParts>
  <Company/>
  <LinksUpToDate>false</LinksUpToDate>
  <CharactersWithSpaces>6315</CharactersWithSpaces>
  <SharedDoc>false</SharedDoc>
  <HLinks>
    <vt:vector size="18" baseType="variant"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http://www.adapt.it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http://www.adapt.it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http://www.adapt.it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wp_01_b</dc:title>
  <dc:subject/>
  <dc:creator>M.Magni - Adapt</dc:creator>
  <cp:keywords/>
  <dc:description/>
  <cp:lastModifiedBy>tiziana</cp:lastModifiedBy>
  <cp:revision>2</cp:revision>
  <dcterms:created xsi:type="dcterms:W3CDTF">2013-10-21T09:34:00Z</dcterms:created>
  <dcterms:modified xsi:type="dcterms:W3CDTF">2013-10-21T09:34:00Z</dcterms:modified>
</cp:coreProperties>
</file>