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024" w:rsidRDefault="004A0024" w:rsidP="00B36F3F">
      <w:pPr>
        <w:widowControl w:val="0"/>
        <w:suppressAutoHyphens/>
        <w:jc w:val="both"/>
        <w:rPr>
          <w:rFonts w:ascii="Arial" w:hAnsi="Arial" w:cs="Arial"/>
          <w:b/>
          <w:color w:val="C00000"/>
          <w:lang w:eastAsia="ar-SA"/>
        </w:rPr>
      </w:pPr>
    </w:p>
    <w:p w:rsidR="002D1280" w:rsidRPr="002D1280" w:rsidRDefault="002D1280" w:rsidP="002D1280">
      <w:pPr>
        <w:widowControl w:val="0"/>
        <w:suppressAutoHyphens/>
        <w:jc w:val="both"/>
        <w:rPr>
          <w:rFonts w:ascii="Arial" w:hAnsi="Arial" w:cs="Arial"/>
          <w:b/>
          <w:color w:val="C00000"/>
          <w:lang w:eastAsia="ar-SA"/>
        </w:rPr>
      </w:pPr>
      <w:r w:rsidRPr="002D1280">
        <w:rPr>
          <w:rFonts w:ascii="Arial" w:hAnsi="Arial" w:cs="Arial"/>
          <w:b/>
          <w:color w:val="C00000"/>
          <w:lang w:eastAsia="ar-SA"/>
        </w:rPr>
        <w:t xml:space="preserve">Pubblicazioni di Silvia </w:t>
      </w:r>
      <w:r>
        <w:rPr>
          <w:rFonts w:ascii="Arial" w:hAnsi="Arial" w:cs="Arial"/>
          <w:b/>
          <w:color w:val="C00000"/>
          <w:lang w:eastAsia="ar-SA"/>
        </w:rPr>
        <w:t>Bruzzone</w:t>
      </w:r>
    </w:p>
    <w:p w:rsidR="002D1280" w:rsidRDefault="002D1280" w:rsidP="002D1280">
      <w:pPr>
        <w:widowControl w:val="0"/>
        <w:suppressAutoHyphens/>
        <w:jc w:val="both"/>
        <w:rPr>
          <w:rFonts w:ascii="Arial" w:hAnsi="Arial" w:cs="Arial"/>
          <w:b/>
          <w:color w:val="C00000"/>
          <w:lang w:eastAsia="ar-SA"/>
        </w:rPr>
      </w:pPr>
    </w:p>
    <w:p w:rsidR="002D1280" w:rsidRDefault="002D1280" w:rsidP="002D1280">
      <w:pPr>
        <w:widowControl w:val="0"/>
        <w:suppressAutoHyphens/>
        <w:jc w:val="both"/>
        <w:rPr>
          <w:rFonts w:ascii="Arial" w:hAnsi="Arial" w:cs="Arial"/>
          <w:b/>
          <w:color w:val="C00000"/>
          <w:lang w:eastAsia="ar-SA"/>
        </w:rPr>
      </w:pPr>
    </w:p>
    <w:p w:rsidR="004A0024" w:rsidRDefault="002D1280" w:rsidP="002D1280">
      <w:pPr>
        <w:widowControl w:val="0"/>
        <w:suppressAutoHyphens/>
        <w:jc w:val="both"/>
        <w:rPr>
          <w:rFonts w:ascii="Arial" w:hAnsi="Arial" w:cs="Arial"/>
          <w:b/>
          <w:color w:val="C00000"/>
          <w:lang w:eastAsia="ar-SA"/>
        </w:rPr>
      </w:pPr>
      <w:r w:rsidRPr="002D1280">
        <w:rPr>
          <w:rFonts w:ascii="Arial" w:hAnsi="Arial" w:cs="Arial"/>
          <w:b/>
          <w:color w:val="C00000"/>
          <w:lang w:eastAsia="ar-SA"/>
        </w:rPr>
        <w:t>Elenco delle pubblicazioni</w:t>
      </w:r>
      <w:r w:rsidR="008E26A9">
        <w:rPr>
          <w:rFonts w:ascii="Arial" w:hAnsi="Arial" w:cs="Arial"/>
          <w:b/>
          <w:color w:val="C00000"/>
          <w:lang w:eastAsia="ar-SA"/>
        </w:rPr>
        <w:t xml:space="preserve"> scientifiche e divulgative</w:t>
      </w:r>
    </w:p>
    <w:p w:rsidR="00847690" w:rsidRDefault="00847690" w:rsidP="002D1280">
      <w:pPr>
        <w:widowControl w:val="0"/>
        <w:suppressAutoHyphens/>
        <w:jc w:val="both"/>
        <w:rPr>
          <w:rFonts w:ascii="Arial" w:hAnsi="Arial" w:cs="Arial"/>
          <w:b/>
          <w:color w:val="C00000"/>
          <w:lang w:eastAsia="ar-SA"/>
        </w:rPr>
      </w:pPr>
    </w:p>
    <w:p w:rsidR="004A0024" w:rsidRPr="00E27AF2" w:rsidRDefault="00847690" w:rsidP="002D1280">
      <w:pPr>
        <w:widowControl w:val="0"/>
        <w:suppressAutoHyphens/>
        <w:jc w:val="both"/>
        <w:rPr>
          <w:rFonts w:ascii="Arial Narrow" w:hAnsi="Arial Narrow" w:cs="Arial"/>
          <w:lang w:eastAsia="ar-SA"/>
        </w:rPr>
      </w:pPr>
      <w:r>
        <w:rPr>
          <w:rFonts w:ascii="Arial" w:hAnsi="Arial" w:cs="Arial"/>
          <w:sz w:val="20"/>
          <w:szCs w:val="20"/>
          <w:lang w:eastAsia="ar-SA"/>
        </w:rPr>
        <w:t>A</w:t>
      </w:r>
      <w:r w:rsidR="002D1280" w:rsidRPr="00E27AF2">
        <w:rPr>
          <w:rFonts w:ascii="Arial Narrow" w:hAnsi="Arial Narrow" w:cs="Arial"/>
          <w:lang w:eastAsia="ar-SA"/>
        </w:rPr>
        <w:t xml:space="preserve">utore di numerosi articoli, report, guide informative sul diritto del lavoro e, in </w:t>
      </w:r>
      <w:proofErr w:type="gramStart"/>
      <w:r w:rsidR="002D1280" w:rsidRPr="00E27AF2">
        <w:rPr>
          <w:rFonts w:ascii="Arial Narrow" w:hAnsi="Arial Narrow" w:cs="Arial"/>
          <w:lang w:eastAsia="ar-SA"/>
        </w:rPr>
        <w:t>particolare,  sui</w:t>
      </w:r>
      <w:proofErr w:type="gramEnd"/>
      <w:r w:rsidR="002D1280" w:rsidRPr="00E27AF2">
        <w:rPr>
          <w:rFonts w:ascii="Arial Narrow" w:hAnsi="Arial Narrow" w:cs="Arial"/>
          <w:lang w:eastAsia="ar-SA"/>
        </w:rPr>
        <w:t xml:space="preserve"> diritti delle persone con disabilità e/o i loro familiari nell’inserimento e nel mantenimento del lavoro. </w:t>
      </w:r>
      <w:bookmarkStart w:id="0" w:name="_GoBack"/>
      <w:bookmarkEnd w:id="0"/>
    </w:p>
    <w:p w:rsidR="002D1280" w:rsidRPr="00E27AF2" w:rsidRDefault="002D1280" w:rsidP="002D1280">
      <w:pPr>
        <w:widowControl w:val="0"/>
        <w:suppressAutoHyphens/>
        <w:jc w:val="both"/>
        <w:rPr>
          <w:rFonts w:ascii="Arial Narrow" w:hAnsi="Arial Narrow" w:cs="Arial"/>
          <w:lang w:eastAsia="ar-SA"/>
        </w:rPr>
      </w:pPr>
    </w:p>
    <w:p w:rsidR="006613B8" w:rsidRPr="00F24314" w:rsidRDefault="006613B8" w:rsidP="006613B8">
      <w:pPr>
        <w:numPr>
          <w:ilvl w:val="0"/>
          <w:numId w:val="1"/>
        </w:numPr>
        <w:autoSpaceDE w:val="0"/>
        <w:jc w:val="both"/>
        <w:rPr>
          <w:rFonts w:ascii="Arial Narrow" w:hAnsi="Arial Narrow" w:cs="Arial"/>
          <w:iCs/>
        </w:rPr>
      </w:pPr>
      <w:r w:rsidRPr="00F24314">
        <w:rPr>
          <w:rFonts w:ascii="Arial Narrow" w:hAnsi="Arial Narrow" w:cs="Arial"/>
          <w:iCs/>
        </w:rPr>
        <w:t xml:space="preserve">Politiche della disabilità: a breve il II programma di azione biennale, in Bollettino </w:t>
      </w:r>
      <w:proofErr w:type="spellStart"/>
      <w:r w:rsidRPr="00F24314">
        <w:rPr>
          <w:rFonts w:ascii="Arial Narrow" w:hAnsi="Arial Narrow" w:cs="Arial"/>
          <w:iCs/>
        </w:rPr>
        <w:t>Adapt</w:t>
      </w:r>
      <w:proofErr w:type="spellEnd"/>
      <w:r w:rsidRPr="00F24314">
        <w:rPr>
          <w:rFonts w:ascii="Arial Narrow" w:hAnsi="Arial Narrow" w:cs="Arial"/>
          <w:iCs/>
        </w:rPr>
        <w:t>. 12 settembre 2016, n. 29.</w:t>
      </w:r>
    </w:p>
    <w:p w:rsidR="006613B8" w:rsidRPr="00F24314" w:rsidRDefault="006613B8" w:rsidP="006613B8">
      <w:pPr>
        <w:autoSpaceDE w:val="0"/>
        <w:ind w:left="720"/>
        <w:jc w:val="both"/>
        <w:rPr>
          <w:rFonts w:ascii="Arial Narrow" w:hAnsi="Arial Narrow" w:cs="Arial"/>
          <w:iCs/>
        </w:rPr>
      </w:pPr>
    </w:p>
    <w:p w:rsidR="006613B8" w:rsidRPr="00F24314" w:rsidRDefault="006613B8" w:rsidP="006613B8">
      <w:pPr>
        <w:numPr>
          <w:ilvl w:val="0"/>
          <w:numId w:val="1"/>
        </w:numPr>
        <w:autoSpaceDE w:val="0"/>
        <w:jc w:val="both"/>
        <w:rPr>
          <w:rFonts w:ascii="Arial Narrow" w:hAnsi="Arial Narrow" w:cs="Arial"/>
          <w:iCs/>
        </w:rPr>
      </w:pPr>
      <w:r w:rsidRPr="00F24314">
        <w:rPr>
          <w:rFonts w:ascii="Arial Narrow" w:hAnsi="Arial Narrow" w:cs="Arial"/>
          <w:iCs/>
        </w:rPr>
        <w:t xml:space="preserve">L’inclusione lavorativa e gli “accomodamenti ragionevoli: prime riflessioni”, in Bollettino speciale </w:t>
      </w:r>
      <w:proofErr w:type="spellStart"/>
      <w:r w:rsidRPr="00F24314">
        <w:rPr>
          <w:rFonts w:ascii="Arial Narrow" w:hAnsi="Arial Narrow" w:cs="Arial"/>
          <w:iCs/>
        </w:rPr>
        <w:t>Adapt</w:t>
      </w:r>
      <w:proofErr w:type="spellEnd"/>
      <w:r w:rsidRPr="00F24314">
        <w:rPr>
          <w:rFonts w:ascii="Arial Narrow" w:hAnsi="Arial Narrow" w:cs="Arial"/>
          <w:iCs/>
        </w:rPr>
        <w:t>, 18 maggio 2016, n.7.</w:t>
      </w:r>
    </w:p>
    <w:p w:rsidR="006613B8" w:rsidRPr="00F24314" w:rsidRDefault="006613B8" w:rsidP="006613B8">
      <w:pPr>
        <w:autoSpaceDE w:val="0"/>
        <w:ind w:left="720"/>
        <w:jc w:val="both"/>
        <w:rPr>
          <w:rFonts w:ascii="Arial Narrow" w:hAnsi="Arial Narrow" w:cs="Arial"/>
          <w:iCs/>
        </w:rPr>
      </w:pPr>
    </w:p>
    <w:p w:rsidR="006613B8" w:rsidRPr="00F24314" w:rsidRDefault="006613B8" w:rsidP="006613B8">
      <w:pPr>
        <w:numPr>
          <w:ilvl w:val="0"/>
          <w:numId w:val="1"/>
        </w:numPr>
        <w:autoSpaceDE w:val="0"/>
        <w:jc w:val="both"/>
        <w:rPr>
          <w:rFonts w:ascii="Arial Narrow" w:hAnsi="Arial Narrow" w:cs="Arial"/>
          <w:iCs/>
        </w:rPr>
      </w:pPr>
      <w:r w:rsidRPr="00F24314">
        <w:rPr>
          <w:rFonts w:ascii="Arial Narrow" w:hAnsi="Arial Narrow" w:cs="Arial"/>
          <w:iCs/>
        </w:rPr>
        <w:t xml:space="preserve">Patologie oncologiche, patologie cronico-degenerative e diritto al part-time, in Le nuove regole del lavoro dopo il Jobs </w:t>
      </w:r>
      <w:proofErr w:type="spellStart"/>
      <w:r w:rsidRPr="00F24314">
        <w:rPr>
          <w:rFonts w:ascii="Arial Narrow" w:hAnsi="Arial Narrow" w:cs="Arial"/>
          <w:iCs/>
        </w:rPr>
        <w:t>Act</w:t>
      </w:r>
      <w:proofErr w:type="spellEnd"/>
      <w:r w:rsidRPr="00F24314">
        <w:rPr>
          <w:rFonts w:ascii="Arial Narrow" w:hAnsi="Arial Narrow" w:cs="Arial"/>
          <w:iCs/>
        </w:rPr>
        <w:t xml:space="preserve">, Michele Tiraboschi </w:t>
      </w:r>
      <w:proofErr w:type="gramStart"/>
      <w:r w:rsidRPr="00F24314">
        <w:rPr>
          <w:rFonts w:ascii="Arial Narrow" w:hAnsi="Arial Narrow" w:cs="Arial"/>
          <w:iCs/>
        </w:rPr>
        <w:t>( a</w:t>
      </w:r>
      <w:proofErr w:type="gramEnd"/>
      <w:r w:rsidRPr="00F24314">
        <w:rPr>
          <w:rFonts w:ascii="Arial Narrow" w:hAnsi="Arial Narrow" w:cs="Arial"/>
          <w:iCs/>
        </w:rPr>
        <w:t xml:space="preserve"> cura di), GIUFFRE’ Ed. </w:t>
      </w:r>
      <w:proofErr w:type="gramStart"/>
      <w:r w:rsidRPr="00F24314">
        <w:rPr>
          <w:rFonts w:ascii="Arial Narrow" w:hAnsi="Arial Narrow" w:cs="Arial"/>
          <w:iCs/>
        </w:rPr>
        <w:t>gennaio</w:t>
      </w:r>
      <w:proofErr w:type="gramEnd"/>
      <w:r w:rsidRPr="00F24314">
        <w:rPr>
          <w:rFonts w:ascii="Arial Narrow" w:hAnsi="Arial Narrow" w:cs="Arial"/>
          <w:iCs/>
        </w:rPr>
        <w:t xml:space="preserve"> 2016, , </w:t>
      </w:r>
      <w:proofErr w:type="spellStart"/>
      <w:r w:rsidRPr="00F24314">
        <w:rPr>
          <w:rFonts w:ascii="Arial Narrow" w:hAnsi="Arial Narrow" w:cs="Arial"/>
          <w:iCs/>
        </w:rPr>
        <w:t>pagg</w:t>
      </w:r>
      <w:proofErr w:type="spellEnd"/>
      <w:r w:rsidRPr="00F24314">
        <w:rPr>
          <w:rFonts w:ascii="Arial Narrow" w:hAnsi="Arial Narrow" w:cs="Arial"/>
          <w:iCs/>
        </w:rPr>
        <w:t>.- 613 e ss.</w:t>
      </w:r>
    </w:p>
    <w:p w:rsidR="006613B8" w:rsidRPr="00F24314" w:rsidRDefault="006613B8" w:rsidP="006613B8">
      <w:pPr>
        <w:autoSpaceDE w:val="0"/>
        <w:ind w:left="360"/>
        <w:jc w:val="both"/>
        <w:rPr>
          <w:rFonts w:ascii="Arial Narrow" w:hAnsi="Arial Narrow" w:cs="Arial"/>
          <w:iCs/>
        </w:rPr>
      </w:pPr>
    </w:p>
    <w:p w:rsidR="006613B8" w:rsidRPr="00F24314" w:rsidRDefault="006613B8" w:rsidP="006613B8">
      <w:pPr>
        <w:numPr>
          <w:ilvl w:val="0"/>
          <w:numId w:val="1"/>
        </w:numPr>
        <w:autoSpaceDE w:val="0"/>
        <w:jc w:val="both"/>
        <w:rPr>
          <w:rFonts w:ascii="Arial Narrow" w:hAnsi="Arial Narrow" w:cs="Arial"/>
          <w:iCs/>
        </w:rPr>
      </w:pPr>
      <w:r w:rsidRPr="00F24314">
        <w:rPr>
          <w:rFonts w:ascii="Arial Narrow" w:hAnsi="Arial Narrow" w:cs="Arial"/>
          <w:iCs/>
        </w:rPr>
        <w:t xml:space="preserve">Lavoro e Welfare della persona. Un Libro verde per il dibattito pubblico.  </w:t>
      </w:r>
      <w:proofErr w:type="spellStart"/>
      <w:r w:rsidRPr="00F24314">
        <w:rPr>
          <w:rFonts w:ascii="Arial Narrow" w:hAnsi="Arial Narrow" w:cs="Arial"/>
          <w:iCs/>
        </w:rPr>
        <w:t>Adapt</w:t>
      </w:r>
      <w:proofErr w:type="spellEnd"/>
      <w:r w:rsidRPr="00F24314">
        <w:rPr>
          <w:rFonts w:ascii="Arial Narrow" w:hAnsi="Arial Narrow" w:cs="Arial"/>
          <w:iCs/>
        </w:rPr>
        <w:t>. Ottobre 2015.</w:t>
      </w:r>
    </w:p>
    <w:p w:rsidR="006613B8" w:rsidRPr="00F24314" w:rsidRDefault="006613B8" w:rsidP="006613B8">
      <w:pPr>
        <w:autoSpaceDE w:val="0"/>
        <w:ind w:left="720"/>
        <w:jc w:val="both"/>
        <w:rPr>
          <w:rFonts w:ascii="Arial Narrow" w:hAnsi="Arial Narrow" w:cs="Arial"/>
          <w:iCs/>
        </w:rPr>
      </w:pPr>
    </w:p>
    <w:p w:rsidR="006613B8" w:rsidRPr="00F24314" w:rsidRDefault="006613B8" w:rsidP="006613B8">
      <w:pPr>
        <w:numPr>
          <w:ilvl w:val="0"/>
          <w:numId w:val="1"/>
        </w:numPr>
        <w:autoSpaceDE w:val="0"/>
        <w:jc w:val="both"/>
        <w:rPr>
          <w:rFonts w:ascii="Arial Narrow" w:hAnsi="Arial Narrow" w:cs="Arial"/>
          <w:iCs/>
          <w:lang w:val="en-US"/>
        </w:rPr>
      </w:pPr>
      <w:r w:rsidRPr="00F24314">
        <w:rPr>
          <w:rFonts w:ascii="Arial Narrow" w:hAnsi="Arial Narrow" w:cs="Arial"/>
          <w:iCs/>
          <w:lang w:val="en-US"/>
        </w:rPr>
        <w:t>The right to independent living for persons with disabilities, FRANET Report, Italy, 20.08.2015.</w:t>
      </w:r>
    </w:p>
    <w:p w:rsidR="006613B8" w:rsidRPr="00F24314" w:rsidRDefault="006613B8" w:rsidP="006613B8">
      <w:pPr>
        <w:autoSpaceDE w:val="0"/>
        <w:ind w:left="720"/>
        <w:jc w:val="both"/>
        <w:rPr>
          <w:rFonts w:ascii="Arial Narrow" w:hAnsi="Arial Narrow" w:cs="Arial"/>
          <w:iCs/>
          <w:lang w:val="en-US"/>
        </w:rPr>
      </w:pPr>
    </w:p>
    <w:p w:rsidR="006613B8" w:rsidRPr="00F24314" w:rsidRDefault="006613B8" w:rsidP="006613B8">
      <w:pPr>
        <w:numPr>
          <w:ilvl w:val="0"/>
          <w:numId w:val="1"/>
        </w:numPr>
        <w:autoSpaceDE w:val="0"/>
        <w:jc w:val="both"/>
        <w:rPr>
          <w:rFonts w:ascii="Arial Narrow" w:hAnsi="Arial Narrow" w:cs="Arial"/>
          <w:iCs/>
        </w:rPr>
      </w:pPr>
      <w:r w:rsidRPr="00F24314">
        <w:rPr>
          <w:rFonts w:ascii="Arial Narrow" w:hAnsi="Arial Narrow" w:cs="Arial"/>
          <w:iCs/>
        </w:rPr>
        <w:t xml:space="preserve">Neoplasie e licenziamenti: tra norme e responsabilità sociale, in Bollettino speciale </w:t>
      </w:r>
      <w:proofErr w:type="spellStart"/>
      <w:r w:rsidRPr="00F24314">
        <w:rPr>
          <w:rFonts w:ascii="Arial Narrow" w:hAnsi="Arial Narrow" w:cs="Arial"/>
          <w:iCs/>
        </w:rPr>
        <w:t>Adapt</w:t>
      </w:r>
      <w:proofErr w:type="spellEnd"/>
      <w:r w:rsidRPr="00F24314">
        <w:rPr>
          <w:rFonts w:ascii="Arial Narrow" w:hAnsi="Arial Narrow" w:cs="Arial"/>
          <w:iCs/>
        </w:rPr>
        <w:t xml:space="preserve">, 21 maggio 2015, n. 14, Guarire dal cancro: criticità, bisogni e nuovi diritti, (a cura di) E. Iannelli e F. </w:t>
      </w:r>
      <w:proofErr w:type="spellStart"/>
      <w:r w:rsidRPr="00F24314">
        <w:rPr>
          <w:rFonts w:ascii="Arial Narrow" w:hAnsi="Arial Narrow" w:cs="Arial"/>
          <w:iCs/>
        </w:rPr>
        <w:t>Silvaggi</w:t>
      </w:r>
      <w:proofErr w:type="spellEnd"/>
      <w:r w:rsidRPr="00F24314">
        <w:rPr>
          <w:rFonts w:ascii="Arial Narrow" w:hAnsi="Arial Narrow" w:cs="Arial"/>
          <w:iCs/>
        </w:rPr>
        <w:t>, in collaborazione con F.A.V.O</w:t>
      </w:r>
      <w:r w:rsidRPr="00F24314">
        <w:rPr>
          <w:rFonts w:ascii="Arial Narrow" w:hAnsi="Arial Narrow" w:cs="Arial"/>
          <w:b/>
          <w:bCs/>
          <w:bdr w:val="none" w:sz="0" w:space="0" w:color="auto" w:frame="1"/>
        </w:rPr>
        <w:t>.</w:t>
      </w:r>
    </w:p>
    <w:p w:rsidR="006613B8" w:rsidRPr="00F24314" w:rsidRDefault="006613B8" w:rsidP="006613B8">
      <w:pPr>
        <w:autoSpaceDE w:val="0"/>
        <w:ind w:left="720"/>
        <w:jc w:val="both"/>
        <w:rPr>
          <w:rFonts w:ascii="Arial Narrow" w:hAnsi="Arial Narrow" w:cs="Arial"/>
          <w:iCs/>
        </w:rPr>
      </w:pPr>
    </w:p>
    <w:p w:rsidR="00B36F3F" w:rsidRPr="00D43B52" w:rsidRDefault="00B36F3F" w:rsidP="00B36F3F">
      <w:pPr>
        <w:widowControl w:val="0"/>
        <w:numPr>
          <w:ilvl w:val="0"/>
          <w:numId w:val="1"/>
        </w:numPr>
        <w:suppressAutoHyphens/>
        <w:autoSpaceDE w:val="0"/>
        <w:jc w:val="both"/>
        <w:rPr>
          <w:rFonts w:ascii="Arial Narrow" w:hAnsi="Arial Narrow" w:cs="Arial"/>
          <w:iCs/>
          <w:lang w:eastAsia="ar-SA"/>
        </w:rPr>
      </w:pPr>
      <w:r w:rsidRPr="00D43B52">
        <w:rPr>
          <w:rFonts w:ascii="Arial Narrow" w:hAnsi="Arial Narrow" w:cs="Arial"/>
          <w:iCs/>
          <w:sz w:val="22"/>
          <w:szCs w:val="22"/>
          <w:lang w:eastAsia="ar-SA"/>
        </w:rPr>
        <w:t xml:space="preserve">Salute disabilità lavoro: parità di trattamento, conciliazione e </w:t>
      </w:r>
      <w:proofErr w:type="spellStart"/>
      <w:r w:rsidRPr="00D43B52">
        <w:rPr>
          <w:rFonts w:ascii="Arial Narrow" w:hAnsi="Arial Narrow" w:cs="Arial"/>
          <w:iCs/>
          <w:sz w:val="22"/>
          <w:szCs w:val="22"/>
          <w:lang w:eastAsia="ar-SA"/>
        </w:rPr>
        <w:t>reasonable</w:t>
      </w:r>
      <w:proofErr w:type="spellEnd"/>
      <w:r w:rsidRPr="00D43B52">
        <w:rPr>
          <w:rFonts w:ascii="Arial Narrow" w:hAnsi="Arial Narrow" w:cs="Arial"/>
          <w:iCs/>
          <w:sz w:val="22"/>
          <w:szCs w:val="22"/>
          <w:lang w:eastAsia="ar-SA"/>
        </w:rPr>
        <w:t xml:space="preserve"> </w:t>
      </w:r>
      <w:proofErr w:type="spellStart"/>
      <w:r w:rsidRPr="00D43B52">
        <w:rPr>
          <w:rFonts w:ascii="Arial Narrow" w:hAnsi="Arial Narrow" w:cs="Arial"/>
          <w:iCs/>
          <w:sz w:val="22"/>
          <w:szCs w:val="22"/>
          <w:lang w:eastAsia="ar-SA"/>
        </w:rPr>
        <w:t>accomodation</w:t>
      </w:r>
      <w:proofErr w:type="spellEnd"/>
      <w:r w:rsidRPr="00D43B52">
        <w:rPr>
          <w:rFonts w:ascii="Arial Narrow" w:hAnsi="Arial Narrow" w:cs="Arial"/>
          <w:iCs/>
          <w:sz w:val="22"/>
          <w:szCs w:val="22"/>
          <w:lang w:eastAsia="ar-SA"/>
        </w:rPr>
        <w:t xml:space="preserve">. Quali diritti? Come chiederne il rispetto? Guida informativa </w:t>
      </w:r>
      <w:r w:rsidRPr="00D43B52">
        <w:rPr>
          <w:rFonts w:ascii="Arial Narrow" w:eastAsia="Arial" w:hAnsi="Arial Narrow" w:cs="Arial"/>
          <w:sz w:val="22"/>
          <w:szCs w:val="22"/>
          <w:lang w:eastAsia="ar-SA"/>
        </w:rPr>
        <w:t xml:space="preserve">pratica per chi è in cerca di occupazione e per chi vuole conservare il proprio lavoro (nel settore pubblico e privato), BMS, Amazon </w:t>
      </w:r>
      <w:proofErr w:type="spellStart"/>
      <w:r w:rsidRPr="00D43B52">
        <w:rPr>
          <w:rFonts w:ascii="Arial Narrow" w:eastAsia="Arial" w:hAnsi="Arial Narrow" w:cs="Arial"/>
          <w:sz w:val="22"/>
          <w:szCs w:val="22"/>
          <w:lang w:eastAsia="ar-SA"/>
        </w:rPr>
        <w:t>Kindle</w:t>
      </w:r>
      <w:proofErr w:type="spellEnd"/>
      <w:r w:rsidRPr="00D43B52">
        <w:rPr>
          <w:rFonts w:ascii="Arial Narrow" w:eastAsia="Arial" w:hAnsi="Arial Narrow" w:cs="Arial"/>
          <w:sz w:val="22"/>
          <w:szCs w:val="22"/>
          <w:lang w:eastAsia="ar-SA"/>
        </w:rPr>
        <w:t>, 2015.</w:t>
      </w:r>
    </w:p>
    <w:p w:rsidR="002D1280" w:rsidRPr="00D43B52" w:rsidRDefault="002D1280" w:rsidP="002D1280">
      <w:pPr>
        <w:autoSpaceDE w:val="0"/>
        <w:jc w:val="both"/>
        <w:rPr>
          <w:rFonts w:ascii="Arial Narrow" w:hAnsi="Arial Narrow" w:cs="Arial"/>
          <w:iCs/>
          <w:lang w:eastAsia="ar-SA"/>
        </w:rPr>
      </w:pPr>
    </w:p>
    <w:p w:rsidR="00B36F3F" w:rsidRPr="00D43B52" w:rsidRDefault="00B36F3F" w:rsidP="00B36F3F">
      <w:pPr>
        <w:widowControl w:val="0"/>
        <w:numPr>
          <w:ilvl w:val="0"/>
          <w:numId w:val="1"/>
        </w:numPr>
        <w:suppressAutoHyphens/>
        <w:autoSpaceDE w:val="0"/>
        <w:jc w:val="both"/>
        <w:rPr>
          <w:rFonts w:ascii="Arial Narrow" w:hAnsi="Arial Narrow" w:cs="Arial"/>
          <w:iCs/>
          <w:lang w:eastAsia="ar-SA"/>
        </w:rPr>
      </w:pPr>
      <w:r w:rsidRPr="00D43B52">
        <w:rPr>
          <w:rFonts w:ascii="Arial Narrow" w:hAnsi="Arial Narrow" w:cs="Arial"/>
          <w:iCs/>
          <w:lang w:eastAsia="ar-SA"/>
        </w:rPr>
        <w:t>Compartecipazione al costo delle prestazioni socio assistenziali a favore di persone con disabilità grave e anziani non autosufficienti: le conclusione del Consiglio di Stato costringono a delle decisioni serie da parte della politica, in corso di pubblicazione su Nuove Tutele, Quadrimestrale di politiche sociali, diritto e pratica previdenziale, gennaio 2013.</w:t>
      </w:r>
    </w:p>
    <w:p w:rsidR="00B36F3F" w:rsidRDefault="00B36F3F" w:rsidP="00B36F3F">
      <w:pPr>
        <w:autoSpaceDE w:val="0"/>
        <w:ind w:left="720"/>
        <w:jc w:val="both"/>
        <w:rPr>
          <w:rFonts w:ascii="Arial Narrow" w:hAnsi="Arial Narrow" w:cs="Arial"/>
          <w:iCs/>
          <w:lang w:eastAsia="ar-SA"/>
        </w:rPr>
      </w:pPr>
    </w:p>
    <w:p w:rsidR="006613B8" w:rsidRDefault="006613B8" w:rsidP="00B36F3F">
      <w:pPr>
        <w:autoSpaceDE w:val="0"/>
        <w:ind w:left="720"/>
        <w:jc w:val="both"/>
        <w:rPr>
          <w:rFonts w:ascii="Arial Narrow" w:hAnsi="Arial Narrow" w:cs="Arial"/>
          <w:iCs/>
          <w:lang w:eastAsia="ar-SA"/>
        </w:rPr>
      </w:pPr>
    </w:p>
    <w:p w:rsidR="006613B8" w:rsidRDefault="006613B8" w:rsidP="00B36F3F">
      <w:pPr>
        <w:autoSpaceDE w:val="0"/>
        <w:ind w:left="720"/>
        <w:jc w:val="both"/>
        <w:rPr>
          <w:rFonts w:ascii="Arial Narrow" w:hAnsi="Arial Narrow" w:cs="Arial"/>
          <w:iCs/>
          <w:lang w:eastAsia="ar-SA"/>
        </w:rPr>
      </w:pPr>
    </w:p>
    <w:p w:rsidR="006613B8" w:rsidRPr="00D43B52" w:rsidRDefault="006613B8" w:rsidP="00B36F3F">
      <w:pPr>
        <w:autoSpaceDE w:val="0"/>
        <w:ind w:left="720"/>
        <w:jc w:val="both"/>
        <w:rPr>
          <w:rFonts w:ascii="Arial Narrow" w:hAnsi="Arial Narrow" w:cs="Arial"/>
          <w:iCs/>
          <w:lang w:eastAsia="ar-SA"/>
        </w:rPr>
      </w:pPr>
    </w:p>
    <w:p w:rsidR="00B36F3F" w:rsidRPr="00D43B52" w:rsidRDefault="00250925" w:rsidP="00B36F3F">
      <w:pPr>
        <w:widowControl w:val="0"/>
        <w:numPr>
          <w:ilvl w:val="0"/>
          <w:numId w:val="1"/>
        </w:numPr>
        <w:suppressAutoHyphens/>
        <w:autoSpaceDE w:val="0"/>
        <w:jc w:val="both"/>
        <w:rPr>
          <w:rFonts w:ascii="Arial Narrow" w:hAnsi="Arial Narrow" w:cs="Arial"/>
          <w:iCs/>
          <w:lang w:eastAsia="ar-SA"/>
        </w:rPr>
      </w:pPr>
      <w:hyperlink r:id="rId7" w:anchor="5" w:history="1">
        <w:r w:rsidR="00B36F3F" w:rsidRPr="00D43B52">
          <w:rPr>
            <w:rFonts w:ascii="Arial Narrow" w:hAnsi="Arial Narrow" w:cs="Arial"/>
            <w:iCs/>
            <w:lang w:eastAsia="ar-SA"/>
          </w:rPr>
          <w:t>Il lavoro come precondizione di inclusione sociale nell’ambito dei diritti umani</w:t>
        </w:r>
      </w:hyperlink>
      <w:r w:rsidR="00B36F3F" w:rsidRPr="00D43B52">
        <w:rPr>
          <w:rFonts w:ascii="Arial Narrow" w:hAnsi="Arial Narrow" w:cs="Arial"/>
          <w:iCs/>
          <w:lang w:eastAsia="ar-SA"/>
        </w:rPr>
        <w:t>, in AA.VV. “Lavoro e disabilità: la sclerosi multipla e le patologie croniche progressive nel mercato del lavoro”,</w:t>
      </w:r>
      <w:r w:rsidR="004A0024">
        <w:rPr>
          <w:rFonts w:ascii="Arial Narrow" w:hAnsi="Arial Narrow" w:cs="Arial"/>
          <w:iCs/>
          <w:lang w:eastAsia="ar-SA"/>
        </w:rPr>
        <w:t xml:space="preserve"> </w:t>
      </w:r>
      <w:r w:rsidR="00B36F3F" w:rsidRPr="00D43B52">
        <w:rPr>
          <w:rFonts w:ascii="Arial Narrow" w:hAnsi="Arial Narrow" w:cs="Arial"/>
          <w:iCs/>
          <w:lang w:eastAsia="ar-SA"/>
        </w:rPr>
        <w:t xml:space="preserve">in </w:t>
      </w:r>
      <w:proofErr w:type="spellStart"/>
      <w:r w:rsidR="00B36F3F" w:rsidRPr="00D43B52">
        <w:rPr>
          <w:rFonts w:ascii="Arial Narrow" w:hAnsi="Arial Narrow" w:cs="Arial"/>
          <w:iCs/>
          <w:lang w:eastAsia="ar-SA"/>
        </w:rPr>
        <w:t>Working</w:t>
      </w:r>
      <w:proofErr w:type="spellEnd"/>
      <w:r w:rsidR="00B36F3F" w:rsidRPr="00D43B52">
        <w:rPr>
          <w:rFonts w:ascii="Arial Narrow" w:hAnsi="Arial Narrow" w:cs="Arial"/>
          <w:iCs/>
          <w:lang w:eastAsia="ar-SA"/>
        </w:rPr>
        <w:t xml:space="preserve"> </w:t>
      </w:r>
      <w:proofErr w:type="spellStart"/>
      <w:r w:rsidR="00B36F3F" w:rsidRPr="00D43B52">
        <w:rPr>
          <w:rFonts w:ascii="Arial Narrow" w:hAnsi="Arial Narrow" w:cs="Arial"/>
          <w:iCs/>
          <w:lang w:eastAsia="ar-SA"/>
        </w:rPr>
        <w:t>papers</w:t>
      </w:r>
      <w:proofErr w:type="spellEnd"/>
      <w:r w:rsidR="00B36F3F" w:rsidRPr="00D43B52">
        <w:rPr>
          <w:rFonts w:ascii="Arial Narrow" w:hAnsi="Arial Narrow" w:cs="Arial"/>
          <w:iCs/>
          <w:lang w:eastAsia="ar-SA"/>
        </w:rPr>
        <w:t xml:space="preserve"> </w:t>
      </w:r>
      <w:r w:rsidR="004A0024">
        <w:rPr>
          <w:rFonts w:ascii="Arial Narrow" w:hAnsi="Arial Narrow" w:cs="Arial"/>
          <w:iCs/>
          <w:lang w:eastAsia="ar-SA"/>
        </w:rPr>
        <w:t xml:space="preserve">Olympus, Approfondimenti 2012, </w:t>
      </w:r>
      <w:proofErr w:type="spellStart"/>
      <w:r w:rsidR="004A0024">
        <w:rPr>
          <w:rFonts w:ascii="Arial Narrow" w:hAnsi="Arial Narrow" w:cs="Arial"/>
          <w:iCs/>
          <w:lang w:eastAsia="ar-SA"/>
        </w:rPr>
        <w:t>U</w:t>
      </w:r>
      <w:r w:rsidR="00B36F3F" w:rsidRPr="00D43B52">
        <w:rPr>
          <w:rFonts w:ascii="Arial Narrow" w:hAnsi="Arial Narrow" w:cs="Arial"/>
          <w:iCs/>
          <w:lang w:eastAsia="ar-SA"/>
        </w:rPr>
        <w:t>niv</w:t>
      </w:r>
      <w:proofErr w:type="spellEnd"/>
      <w:r w:rsidR="00B36F3F" w:rsidRPr="00D43B52">
        <w:rPr>
          <w:rFonts w:ascii="Arial Narrow" w:hAnsi="Arial Narrow" w:cs="Arial"/>
          <w:iCs/>
          <w:lang w:eastAsia="ar-SA"/>
        </w:rPr>
        <w:t>. Urbino.</w:t>
      </w:r>
    </w:p>
    <w:p w:rsidR="00B36F3F" w:rsidRPr="00D43B52" w:rsidRDefault="00B36F3F" w:rsidP="00B36F3F">
      <w:pPr>
        <w:suppressAutoHyphens/>
        <w:ind w:left="708"/>
        <w:jc w:val="both"/>
        <w:rPr>
          <w:rFonts w:ascii="Arial Narrow" w:hAnsi="Arial Narrow" w:cs="Arial"/>
          <w:iCs/>
          <w:lang w:eastAsia="ar-SA"/>
        </w:rPr>
      </w:pPr>
    </w:p>
    <w:p w:rsidR="00B36F3F" w:rsidRDefault="00B36F3F" w:rsidP="00B36F3F">
      <w:pPr>
        <w:widowControl w:val="0"/>
        <w:numPr>
          <w:ilvl w:val="0"/>
          <w:numId w:val="1"/>
        </w:numPr>
        <w:suppressAutoHyphens/>
        <w:autoSpaceDE w:val="0"/>
        <w:jc w:val="both"/>
        <w:rPr>
          <w:rFonts w:ascii="Arial Narrow" w:hAnsi="Arial Narrow" w:cs="Arial"/>
          <w:iCs/>
          <w:lang w:eastAsia="ar-SA"/>
        </w:rPr>
      </w:pPr>
      <w:r w:rsidRPr="00D43B52">
        <w:rPr>
          <w:rFonts w:ascii="Arial Narrow" w:hAnsi="Arial Narrow" w:cs="Arial"/>
          <w:iCs/>
          <w:lang w:eastAsia="ar-SA"/>
        </w:rPr>
        <w:t xml:space="preserve">Le parole del lavoro. Report conclusivo azioni di studio e ricerca sul tema del diritto al lavoro delle persone con disabilità.  Progetto “Le parole dei diritti. Le Associazioni si confrontano con il linguaggio della Convenzione Onu sui Diritti delle persone con disabilità”. L. 383/2000 lettera d) – annualità 2009. Predisposto nel 2011. In corso di pubblicazione su D.R.I. – </w:t>
      </w:r>
      <w:proofErr w:type="spellStart"/>
      <w:r w:rsidRPr="00D43B52">
        <w:rPr>
          <w:rFonts w:ascii="Arial Narrow" w:hAnsi="Arial Narrow" w:cs="Arial"/>
          <w:iCs/>
          <w:lang w:eastAsia="ar-SA"/>
        </w:rPr>
        <w:t>Adapt</w:t>
      </w:r>
      <w:proofErr w:type="spellEnd"/>
      <w:r w:rsidRPr="00D43B52">
        <w:rPr>
          <w:rFonts w:ascii="Arial Narrow" w:hAnsi="Arial Narrow" w:cs="Arial"/>
          <w:iCs/>
          <w:lang w:eastAsia="ar-SA"/>
        </w:rPr>
        <w:t>.</w:t>
      </w:r>
    </w:p>
    <w:p w:rsidR="00C101E3" w:rsidRDefault="00C101E3" w:rsidP="00C101E3">
      <w:pPr>
        <w:pStyle w:val="Paragrafoelenco"/>
        <w:rPr>
          <w:rFonts w:ascii="Arial Narrow" w:hAnsi="Arial Narrow" w:cs="Arial"/>
          <w:iCs/>
          <w:lang w:eastAsia="ar-SA"/>
        </w:rPr>
      </w:pPr>
    </w:p>
    <w:p w:rsidR="00B36F3F" w:rsidRPr="00C101E3" w:rsidRDefault="00B36F3F" w:rsidP="00C101E3">
      <w:pPr>
        <w:widowControl w:val="0"/>
        <w:numPr>
          <w:ilvl w:val="0"/>
          <w:numId w:val="1"/>
        </w:numPr>
        <w:suppressAutoHyphens/>
        <w:autoSpaceDE w:val="0"/>
        <w:jc w:val="both"/>
        <w:rPr>
          <w:rFonts w:ascii="Arial Narrow" w:hAnsi="Arial Narrow" w:cs="Arial"/>
          <w:iCs/>
          <w:lang w:eastAsia="ar-SA"/>
        </w:rPr>
      </w:pPr>
      <w:r w:rsidRPr="00C101E3">
        <w:rPr>
          <w:rFonts w:ascii="Arial Narrow" w:hAnsi="Arial Narrow" w:cs="Arial"/>
          <w:iCs/>
          <w:lang w:eastAsia="ar-SA"/>
        </w:rPr>
        <w:t>Disabilità e lavoro: una disamina delle disposizioni contrattuali per la conciliazione dei tempi di lavoro e di cura: il caso della sclerosi multipla. Questioni aperte e spunti di riflessione, in ADAPT, bollettino ordinario 21-05-2012, n. 19.</w:t>
      </w:r>
    </w:p>
    <w:p w:rsidR="00B36F3F" w:rsidRPr="00D43B52" w:rsidRDefault="00B36F3F" w:rsidP="00B36F3F">
      <w:pPr>
        <w:widowControl w:val="0"/>
        <w:numPr>
          <w:ilvl w:val="0"/>
          <w:numId w:val="1"/>
        </w:numPr>
        <w:tabs>
          <w:tab w:val="left" w:pos="275"/>
          <w:tab w:val="left" w:pos="851"/>
        </w:tabs>
        <w:suppressAutoHyphens/>
        <w:jc w:val="both"/>
        <w:rPr>
          <w:rFonts w:ascii="Arial Narrow" w:hAnsi="Arial Narrow" w:cs="Arial"/>
          <w:iCs/>
          <w:lang w:eastAsia="ar-SA"/>
        </w:rPr>
      </w:pPr>
      <w:r w:rsidRPr="00D43B52">
        <w:rPr>
          <w:rFonts w:ascii="Arial Narrow" w:eastAsia="Arial" w:hAnsi="Arial Narrow" w:cs="Arial"/>
          <w:iCs/>
        </w:rPr>
        <w:t>La Strategia europea 2010 - 2020 e la Convenzione ONU sui diritti delle persone con disabilità, in D.R.I., n. 1, 2011.</w:t>
      </w:r>
    </w:p>
    <w:p w:rsidR="00B36F3F" w:rsidRDefault="00B36F3F" w:rsidP="00B36F3F">
      <w:pPr>
        <w:widowControl w:val="0"/>
        <w:tabs>
          <w:tab w:val="left" w:pos="851"/>
        </w:tabs>
        <w:suppressAutoHyphens/>
        <w:jc w:val="both"/>
        <w:rPr>
          <w:rFonts w:ascii="Arial Narrow" w:hAnsi="Arial Narrow" w:cs="Arial"/>
          <w:iCs/>
          <w:lang w:eastAsia="ar-SA"/>
        </w:rPr>
      </w:pPr>
    </w:p>
    <w:p w:rsidR="00C101E3" w:rsidRPr="00D43B52" w:rsidRDefault="00C101E3" w:rsidP="00B36F3F">
      <w:pPr>
        <w:widowControl w:val="0"/>
        <w:tabs>
          <w:tab w:val="left" w:pos="851"/>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275"/>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La sclerosi multipla e il rapporto di lavoro: i profili giuridici d’interesse per gli operatori sanitari e socio-sanitari, in “SM e sessualità, SM e vita di relazione”, A. GHEZZI – G. COMI (a cura di), </w:t>
      </w:r>
      <w:proofErr w:type="spellStart"/>
      <w:r w:rsidRPr="00D43B52">
        <w:rPr>
          <w:rFonts w:ascii="Arial Narrow" w:hAnsi="Arial Narrow" w:cs="Arial"/>
          <w:iCs/>
          <w:lang w:eastAsia="ar-SA"/>
        </w:rPr>
        <w:t>Sanofi</w:t>
      </w:r>
      <w:proofErr w:type="spellEnd"/>
      <w:r w:rsidRPr="00D43B52">
        <w:rPr>
          <w:rFonts w:ascii="Arial Narrow" w:hAnsi="Arial Narrow" w:cs="Arial"/>
          <w:iCs/>
          <w:lang w:eastAsia="ar-SA"/>
        </w:rPr>
        <w:t xml:space="preserve"> </w:t>
      </w:r>
      <w:proofErr w:type="spellStart"/>
      <w:r w:rsidRPr="00D43B52">
        <w:rPr>
          <w:rFonts w:ascii="Arial Narrow" w:hAnsi="Arial Narrow" w:cs="Arial"/>
          <w:iCs/>
          <w:lang w:eastAsia="ar-SA"/>
        </w:rPr>
        <w:t>aventis</w:t>
      </w:r>
      <w:proofErr w:type="spellEnd"/>
      <w:r w:rsidRPr="00D43B52">
        <w:rPr>
          <w:rFonts w:ascii="Arial Narrow" w:hAnsi="Arial Narrow" w:cs="Arial"/>
          <w:iCs/>
          <w:lang w:eastAsia="ar-SA"/>
        </w:rPr>
        <w:t>, 2010.</w:t>
      </w:r>
    </w:p>
    <w:p w:rsidR="00B36F3F" w:rsidRPr="00D43B52" w:rsidRDefault="00B36F3F" w:rsidP="00B36F3F">
      <w:pPr>
        <w:widowControl w:val="0"/>
        <w:tabs>
          <w:tab w:val="left" w:pos="851"/>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250"/>
          <w:tab w:val="left" w:pos="851"/>
        </w:tabs>
        <w:suppressAutoHyphens/>
        <w:jc w:val="both"/>
        <w:rPr>
          <w:rFonts w:ascii="Arial Narrow" w:hAnsi="Arial Narrow" w:cs="Arial"/>
          <w:iCs/>
          <w:lang w:eastAsia="ar-SA"/>
        </w:rPr>
      </w:pPr>
      <w:r w:rsidRPr="00D43B52">
        <w:rPr>
          <w:rFonts w:ascii="Arial Narrow" w:hAnsi="Arial Narrow" w:cs="Arial"/>
          <w:iCs/>
          <w:lang w:eastAsia="ar-SA"/>
        </w:rPr>
        <w:t>Il diritto di cura dei familiari disabili, in D.P.L. 2009, N. 16, INSERTO.</w:t>
      </w:r>
    </w:p>
    <w:p w:rsidR="00B36F3F" w:rsidRPr="00D43B52" w:rsidRDefault="00B36F3F" w:rsidP="00B36F3F">
      <w:pPr>
        <w:widowControl w:val="0"/>
        <w:tabs>
          <w:tab w:val="left" w:pos="250"/>
          <w:tab w:val="left" w:pos="851"/>
        </w:tabs>
        <w:suppressAutoHyphens/>
        <w:ind w:firstLine="60"/>
        <w:jc w:val="both"/>
        <w:rPr>
          <w:rFonts w:ascii="Arial Narrow" w:hAnsi="Arial Narrow" w:cs="Arial"/>
          <w:iCs/>
          <w:lang w:eastAsia="ar-SA"/>
        </w:rPr>
      </w:pPr>
    </w:p>
    <w:p w:rsidR="00B36F3F" w:rsidRPr="00D43B52" w:rsidRDefault="00B36F3F" w:rsidP="00B36F3F">
      <w:pPr>
        <w:widowControl w:val="0"/>
        <w:numPr>
          <w:ilvl w:val="0"/>
          <w:numId w:val="1"/>
        </w:numPr>
        <w:tabs>
          <w:tab w:val="left" w:pos="250"/>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Disabilità e part-time. Quali disposizioni legislative e </w:t>
      </w:r>
      <w:proofErr w:type="gramStart"/>
      <w:r w:rsidRPr="00D43B52">
        <w:rPr>
          <w:rFonts w:ascii="Arial Narrow" w:hAnsi="Arial Narrow" w:cs="Arial"/>
          <w:iCs/>
          <w:lang w:eastAsia="ar-SA"/>
        </w:rPr>
        <w:t>contrattuali?,</w:t>
      </w:r>
      <w:proofErr w:type="gramEnd"/>
      <w:r w:rsidRPr="00D43B52">
        <w:rPr>
          <w:rFonts w:ascii="Arial Narrow" w:hAnsi="Arial Narrow" w:cs="Arial"/>
          <w:iCs/>
          <w:lang w:eastAsia="ar-SA"/>
        </w:rPr>
        <w:t xml:space="preserve"> in D.R.I., 2008, n. 4, 1193 ss. </w:t>
      </w:r>
    </w:p>
    <w:p w:rsidR="00B36F3F" w:rsidRDefault="00B36F3F" w:rsidP="00B36F3F">
      <w:pPr>
        <w:widowControl w:val="0"/>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250"/>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L’assistenza al familiare disabile (nota a sentenza </w:t>
      </w:r>
      <w:proofErr w:type="spellStart"/>
      <w:r w:rsidRPr="00D43B52">
        <w:rPr>
          <w:rFonts w:ascii="Arial Narrow" w:hAnsi="Arial Narrow" w:cs="Arial"/>
          <w:iCs/>
          <w:lang w:eastAsia="ar-SA"/>
        </w:rPr>
        <w:t>Cass</w:t>
      </w:r>
      <w:proofErr w:type="spellEnd"/>
      <w:r w:rsidRPr="00D43B52">
        <w:rPr>
          <w:rFonts w:ascii="Arial Narrow" w:hAnsi="Arial Narrow" w:cs="Arial"/>
          <w:iCs/>
          <w:lang w:eastAsia="ar-SA"/>
        </w:rPr>
        <w:t>. 23526/2006), in Mass. giur. Lav., 2007,  n. 3.</w:t>
      </w:r>
    </w:p>
    <w:p w:rsidR="00B36F3F" w:rsidRPr="00D43B52" w:rsidRDefault="00B36F3F" w:rsidP="00B36F3F">
      <w:pPr>
        <w:tabs>
          <w:tab w:val="left" w:pos="851"/>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300"/>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Salute e sicurezza dei lavoratori sui luoghi di lavoro, in Percorsi giurisprudenziali nel diritto del lavoro, (a cura di) E. Minale Costa, </w:t>
      </w:r>
      <w:proofErr w:type="spellStart"/>
      <w:r w:rsidRPr="00D43B52">
        <w:rPr>
          <w:rFonts w:ascii="Arial Narrow" w:hAnsi="Arial Narrow" w:cs="Arial"/>
          <w:iCs/>
          <w:lang w:eastAsia="ar-SA"/>
        </w:rPr>
        <w:t>Giappichelli</w:t>
      </w:r>
      <w:proofErr w:type="spellEnd"/>
      <w:r w:rsidRPr="00D43B52">
        <w:rPr>
          <w:rFonts w:ascii="Arial Narrow" w:hAnsi="Arial Narrow" w:cs="Arial"/>
          <w:iCs/>
          <w:lang w:eastAsia="ar-SA"/>
        </w:rPr>
        <w:t xml:space="preserve">, 2 ed. </w:t>
      </w:r>
      <w:proofErr w:type="gramStart"/>
      <w:r w:rsidRPr="00D43B52">
        <w:rPr>
          <w:rFonts w:ascii="Arial Narrow" w:hAnsi="Arial Narrow" w:cs="Arial"/>
          <w:iCs/>
          <w:lang w:eastAsia="ar-SA"/>
        </w:rPr>
        <w:t>integralmente</w:t>
      </w:r>
      <w:proofErr w:type="gramEnd"/>
      <w:r w:rsidRPr="00D43B52">
        <w:rPr>
          <w:rFonts w:ascii="Arial Narrow" w:hAnsi="Arial Narrow" w:cs="Arial"/>
          <w:iCs/>
          <w:lang w:eastAsia="ar-SA"/>
        </w:rPr>
        <w:t xml:space="preserve"> rifatta,  2004.</w:t>
      </w:r>
    </w:p>
    <w:p w:rsidR="00B36F3F" w:rsidRPr="00D43B52" w:rsidRDefault="00B36F3F" w:rsidP="00B36F3F">
      <w:pPr>
        <w:tabs>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w:t>
      </w:r>
    </w:p>
    <w:p w:rsidR="00B36F3F" w:rsidRPr="00D43B52" w:rsidRDefault="00B36F3F" w:rsidP="00B36F3F">
      <w:pPr>
        <w:widowControl w:val="0"/>
        <w:numPr>
          <w:ilvl w:val="0"/>
          <w:numId w:val="1"/>
        </w:numPr>
        <w:tabs>
          <w:tab w:val="left" w:pos="300"/>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Il risarcimento dei danni nel rapporto di lavoro, in Percorsi giurisprudenziali nel diritto del lavoro, (a cura di) E. Minale Costa, </w:t>
      </w:r>
      <w:proofErr w:type="spellStart"/>
      <w:r w:rsidRPr="00D43B52">
        <w:rPr>
          <w:rFonts w:ascii="Arial Narrow" w:hAnsi="Arial Narrow" w:cs="Arial"/>
          <w:iCs/>
          <w:lang w:eastAsia="ar-SA"/>
        </w:rPr>
        <w:t>Giappichelli</w:t>
      </w:r>
      <w:proofErr w:type="spellEnd"/>
      <w:r w:rsidRPr="00D43B52">
        <w:rPr>
          <w:rFonts w:ascii="Arial Narrow" w:hAnsi="Arial Narrow" w:cs="Arial"/>
          <w:iCs/>
          <w:lang w:eastAsia="ar-SA"/>
        </w:rPr>
        <w:t xml:space="preserve">, 2 ed. </w:t>
      </w:r>
      <w:proofErr w:type="gramStart"/>
      <w:r w:rsidRPr="00D43B52">
        <w:rPr>
          <w:rFonts w:ascii="Arial Narrow" w:hAnsi="Arial Narrow" w:cs="Arial"/>
          <w:iCs/>
          <w:lang w:eastAsia="ar-SA"/>
        </w:rPr>
        <w:t>integralmente</w:t>
      </w:r>
      <w:proofErr w:type="gramEnd"/>
      <w:r w:rsidRPr="00D43B52">
        <w:rPr>
          <w:rFonts w:ascii="Arial Narrow" w:hAnsi="Arial Narrow" w:cs="Arial"/>
          <w:iCs/>
          <w:lang w:eastAsia="ar-SA"/>
        </w:rPr>
        <w:t xml:space="preserve"> rifatta,  2004.</w:t>
      </w:r>
    </w:p>
    <w:p w:rsidR="00B36F3F" w:rsidRDefault="00B36F3F" w:rsidP="00B36F3F">
      <w:pPr>
        <w:tabs>
          <w:tab w:val="left" w:pos="567"/>
          <w:tab w:val="left" w:pos="851"/>
        </w:tabs>
        <w:suppressAutoHyphens/>
        <w:jc w:val="both"/>
        <w:rPr>
          <w:rFonts w:ascii="Arial Narrow" w:hAnsi="Arial Narrow" w:cs="Arial"/>
          <w:iCs/>
          <w:lang w:eastAsia="ar-SA"/>
        </w:rPr>
      </w:pPr>
    </w:p>
    <w:p w:rsidR="006613B8" w:rsidRDefault="006613B8" w:rsidP="00B36F3F">
      <w:pPr>
        <w:tabs>
          <w:tab w:val="left" w:pos="567"/>
          <w:tab w:val="left" w:pos="851"/>
        </w:tabs>
        <w:suppressAutoHyphens/>
        <w:jc w:val="both"/>
        <w:rPr>
          <w:rFonts w:ascii="Arial Narrow" w:hAnsi="Arial Narrow" w:cs="Arial"/>
          <w:iCs/>
          <w:lang w:eastAsia="ar-SA"/>
        </w:rPr>
      </w:pPr>
    </w:p>
    <w:p w:rsidR="006613B8" w:rsidRDefault="006613B8" w:rsidP="00B36F3F">
      <w:pPr>
        <w:tabs>
          <w:tab w:val="left" w:pos="567"/>
          <w:tab w:val="left" w:pos="851"/>
        </w:tabs>
        <w:suppressAutoHyphens/>
        <w:jc w:val="both"/>
        <w:rPr>
          <w:rFonts w:ascii="Arial Narrow" w:hAnsi="Arial Narrow" w:cs="Arial"/>
          <w:iCs/>
          <w:lang w:eastAsia="ar-SA"/>
        </w:rPr>
      </w:pPr>
    </w:p>
    <w:p w:rsidR="006613B8" w:rsidRPr="00D43B52" w:rsidRDefault="006613B8" w:rsidP="00B36F3F">
      <w:pPr>
        <w:tabs>
          <w:tab w:val="left" w:pos="567"/>
          <w:tab w:val="left" w:pos="851"/>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300"/>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La tutela risarcitoria del danno alla professionalità in caso di </w:t>
      </w:r>
      <w:proofErr w:type="spellStart"/>
      <w:r w:rsidRPr="00D43B52">
        <w:rPr>
          <w:rFonts w:ascii="Arial Narrow" w:hAnsi="Arial Narrow" w:cs="Arial"/>
          <w:iCs/>
          <w:lang w:eastAsia="ar-SA"/>
        </w:rPr>
        <w:t>demansionamento</w:t>
      </w:r>
      <w:proofErr w:type="spellEnd"/>
      <w:r w:rsidRPr="00D43B52">
        <w:rPr>
          <w:rFonts w:ascii="Arial Narrow" w:hAnsi="Arial Narrow" w:cs="Arial"/>
          <w:iCs/>
          <w:lang w:eastAsia="ar-SA"/>
        </w:rPr>
        <w:t xml:space="preserve">, giudizio equitativo ed elementi </w:t>
      </w:r>
      <w:proofErr w:type="gramStart"/>
      <w:r w:rsidRPr="00D43B52">
        <w:rPr>
          <w:rFonts w:ascii="Arial Narrow" w:hAnsi="Arial Narrow" w:cs="Arial"/>
          <w:iCs/>
          <w:lang w:eastAsia="ar-SA"/>
        </w:rPr>
        <w:t>presuntivi.,</w:t>
      </w:r>
      <w:proofErr w:type="gramEnd"/>
      <w:r w:rsidRPr="00D43B52">
        <w:rPr>
          <w:rFonts w:ascii="Arial Narrow" w:hAnsi="Arial Narrow" w:cs="Arial"/>
          <w:iCs/>
          <w:lang w:eastAsia="ar-SA"/>
        </w:rPr>
        <w:t xml:space="preserve"> in Mass. giur. lav., 2004.</w:t>
      </w:r>
    </w:p>
    <w:p w:rsidR="00B36F3F" w:rsidRPr="00D43B52" w:rsidRDefault="00B36F3F" w:rsidP="00B36F3F">
      <w:pPr>
        <w:tabs>
          <w:tab w:val="left" w:pos="567"/>
          <w:tab w:val="left" w:pos="851"/>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325"/>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Il trasferimento del familiare di persona con handicap solo “ove possibile</w:t>
      </w:r>
      <w:proofErr w:type="gramStart"/>
      <w:r w:rsidRPr="00D43B52">
        <w:rPr>
          <w:rFonts w:ascii="Arial Narrow" w:hAnsi="Arial Narrow" w:cs="Arial"/>
          <w:iCs/>
          <w:lang w:eastAsia="ar-SA"/>
        </w:rPr>
        <w:t>”.,</w:t>
      </w:r>
      <w:proofErr w:type="gramEnd"/>
      <w:r w:rsidRPr="00D43B52">
        <w:rPr>
          <w:rFonts w:ascii="Arial Narrow" w:hAnsi="Arial Narrow" w:cs="Arial"/>
          <w:iCs/>
          <w:lang w:eastAsia="ar-SA"/>
        </w:rPr>
        <w:t xml:space="preserve"> Mass. giur. lav., 2002, n. 11, 766.</w:t>
      </w:r>
    </w:p>
    <w:p w:rsidR="00B36F3F" w:rsidRPr="00D43B52" w:rsidRDefault="00B36F3F" w:rsidP="00B36F3F">
      <w:pPr>
        <w:tabs>
          <w:tab w:val="left" w:pos="567"/>
          <w:tab w:val="left" w:pos="851"/>
          <w:tab w:val="left" w:pos="927"/>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325"/>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Forzata inattività, lesione della professionalità ed onere </w:t>
      </w:r>
      <w:proofErr w:type="gramStart"/>
      <w:r w:rsidRPr="00D43B52">
        <w:rPr>
          <w:rFonts w:ascii="Arial Narrow" w:hAnsi="Arial Narrow" w:cs="Arial"/>
          <w:iCs/>
          <w:lang w:eastAsia="ar-SA"/>
        </w:rPr>
        <w:t>probatorio.,</w:t>
      </w:r>
      <w:proofErr w:type="gramEnd"/>
      <w:r w:rsidRPr="00D43B52">
        <w:rPr>
          <w:rFonts w:ascii="Arial Narrow" w:hAnsi="Arial Narrow" w:cs="Arial"/>
          <w:iCs/>
          <w:lang w:eastAsia="ar-SA"/>
        </w:rPr>
        <w:t xml:space="preserve"> in Mass. giur. lav., 2002, n. 7, 435.</w:t>
      </w:r>
    </w:p>
    <w:p w:rsidR="00B36F3F" w:rsidRPr="00D43B52" w:rsidRDefault="00B36F3F" w:rsidP="00B36F3F">
      <w:pPr>
        <w:tabs>
          <w:tab w:val="left" w:pos="567"/>
          <w:tab w:val="left" w:pos="851"/>
          <w:tab w:val="left" w:pos="927"/>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313"/>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Privato sociale, cooperazione e articolazione dei </w:t>
      </w:r>
      <w:proofErr w:type="gramStart"/>
      <w:r w:rsidRPr="00D43B52">
        <w:rPr>
          <w:rFonts w:ascii="Arial Narrow" w:hAnsi="Arial Narrow" w:cs="Arial"/>
          <w:iCs/>
          <w:lang w:eastAsia="ar-SA"/>
        </w:rPr>
        <w:t>bisogni.,</w:t>
      </w:r>
      <w:proofErr w:type="gramEnd"/>
      <w:r w:rsidRPr="00D43B52">
        <w:rPr>
          <w:rFonts w:ascii="Arial Narrow" w:hAnsi="Arial Narrow" w:cs="Arial"/>
          <w:iCs/>
          <w:lang w:eastAsia="ar-SA"/>
        </w:rPr>
        <w:t xml:space="preserve"> in Dir. </w:t>
      </w:r>
      <w:proofErr w:type="spellStart"/>
      <w:r w:rsidRPr="00D43B52">
        <w:rPr>
          <w:rFonts w:ascii="Arial Narrow" w:hAnsi="Arial Narrow" w:cs="Arial"/>
          <w:iCs/>
          <w:lang w:eastAsia="ar-SA"/>
        </w:rPr>
        <w:t>rel</w:t>
      </w:r>
      <w:proofErr w:type="spellEnd"/>
      <w:r w:rsidRPr="00D43B52">
        <w:rPr>
          <w:rFonts w:ascii="Arial Narrow" w:hAnsi="Arial Narrow" w:cs="Arial"/>
          <w:iCs/>
          <w:lang w:eastAsia="ar-SA"/>
        </w:rPr>
        <w:t xml:space="preserve">. </w:t>
      </w:r>
      <w:proofErr w:type="spellStart"/>
      <w:r w:rsidRPr="00D43B52">
        <w:rPr>
          <w:rFonts w:ascii="Arial Narrow" w:hAnsi="Arial Narrow" w:cs="Arial"/>
          <w:iCs/>
          <w:lang w:eastAsia="ar-SA"/>
        </w:rPr>
        <w:t>ind</w:t>
      </w:r>
      <w:proofErr w:type="spellEnd"/>
      <w:r w:rsidRPr="00D43B52">
        <w:rPr>
          <w:rFonts w:ascii="Arial Narrow" w:hAnsi="Arial Narrow" w:cs="Arial"/>
          <w:iCs/>
          <w:lang w:eastAsia="ar-SA"/>
        </w:rPr>
        <w:t>., 2002, n. 1, 41.</w:t>
      </w:r>
    </w:p>
    <w:p w:rsidR="00B36F3F" w:rsidRPr="00D43B52" w:rsidRDefault="00B36F3F" w:rsidP="00B36F3F">
      <w:pPr>
        <w:tabs>
          <w:tab w:val="left" w:pos="567"/>
          <w:tab w:val="left" w:pos="851"/>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313"/>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Gli aspetti giuridici, in Piano degli spostamenti casa-lavoro dei dipendenti dell’IST. Progetto di telelavoro in un istituto scientifico pubblico. Un modello per la pubblica </w:t>
      </w:r>
      <w:proofErr w:type="gramStart"/>
      <w:r w:rsidRPr="00D43B52">
        <w:rPr>
          <w:rFonts w:ascii="Arial Narrow" w:hAnsi="Arial Narrow" w:cs="Arial"/>
          <w:iCs/>
          <w:lang w:eastAsia="ar-SA"/>
        </w:rPr>
        <w:t>amministrazione.,</w:t>
      </w:r>
      <w:proofErr w:type="gramEnd"/>
      <w:r w:rsidRPr="00D43B52">
        <w:rPr>
          <w:rFonts w:ascii="Arial Narrow" w:hAnsi="Arial Narrow" w:cs="Arial"/>
          <w:iCs/>
          <w:lang w:eastAsia="ar-SA"/>
        </w:rPr>
        <w:t xml:space="preserve"> D. VECCHIO (a cura di), IST, 2002.</w:t>
      </w:r>
    </w:p>
    <w:p w:rsidR="00B36F3F" w:rsidRPr="00D43B52" w:rsidRDefault="00B36F3F" w:rsidP="00B36F3F">
      <w:pPr>
        <w:tabs>
          <w:tab w:val="left" w:pos="567"/>
          <w:tab w:val="left" w:pos="851"/>
          <w:tab w:val="left" w:pos="927"/>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300"/>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Salute e sicurezza dei lavoratori sui luoghi di lavoro, in Percorsi giurisprudenziali nel diritto del lavoro, (a cura di) E. Minale Costa, </w:t>
      </w:r>
      <w:proofErr w:type="spellStart"/>
      <w:r w:rsidRPr="00D43B52">
        <w:rPr>
          <w:rFonts w:ascii="Arial Narrow" w:hAnsi="Arial Narrow" w:cs="Arial"/>
          <w:iCs/>
          <w:lang w:eastAsia="ar-SA"/>
        </w:rPr>
        <w:t>Giappichelli</w:t>
      </w:r>
      <w:proofErr w:type="spellEnd"/>
      <w:r w:rsidRPr="00D43B52">
        <w:rPr>
          <w:rFonts w:ascii="Arial Narrow" w:hAnsi="Arial Narrow" w:cs="Arial"/>
          <w:iCs/>
          <w:lang w:eastAsia="ar-SA"/>
        </w:rPr>
        <w:t>, 2002, p. 209 ss.</w:t>
      </w:r>
    </w:p>
    <w:p w:rsidR="00B36F3F" w:rsidRPr="00D43B52" w:rsidRDefault="00B36F3F" w:rsidP="00B36F3F">
      <w:pPr>
        <w:tabs>
          <w:tab w:val="left" w:pos="567"/>
          <w:tab w:val="left" w:pos="851"/>
          <w:tab w:val="left" w:pos="927"/>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300"/>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Danno biologico e mobbing, in Percorsi giurisprudenziali nel diritto del lavoro, (a cura di) E. Minale Costa, </w:t>
      </w:r>
      <w:proofErr w:type="spellStart"/>
      <w:r w:rsidRPr="00D43B52">
        <w:rPr>
          <w:rFonts w:ascii="Arial Narrow" w:hAnsi="Arial Narrow" w:cs="Arial"/>
          <w:iCs/>
          <w:lang w:eastAsia="ar-SA"/>
        </w:rPr>
        <w:t>Giappichelli</w:t>
      </w:r>
      <w:proofErr w:type="spellEnd"/>
      <w:r w:rsidRPr="00D43B52">
        <w:rPr>
          <w:rFonts w:ascii="Arial Narrow" w:hAnsi="Arial Narrow" w:cs="Arial"/>
          <w:iCs/>
          <w:lang w:eastAsia="ar-SA"/>
        </w:rPr>
        <w:t>, 2002, p. 237 ss.</w:t>
      </w:r>
    </w:p>
    <w:p w:rsidR="00B36F3F" w:rsidRDefault="00B36F3F" w:rsidP="00B36F3F">
      <w:pPr>
        <w:tabs>
          <w:tab w:val="left" w:pos="567"/>
          <w:tab w:val="left" w:pos="851"/>
          <w:tab w:val="left" w:pos="927"/>
        </w:tabs>
        <w:suppressAutoHyphens/>
        <w:jc w:val="both"/>
        <w:rPr>
          <w:rFonts w:ascii="Arial Narrow" w:hAnsi="Arial Narrow" w:cs="Arial"/>
          <w:iCs/>
          <w:lang w:eastAsia="ar-SA"/>
        </w:rPr>
      </w:pPr>
    </w:p>
    <w:p w:rsidR="00B36F3F" w:rsidRPr="00D43B52" w:rsidRDefault="00B36F3F" w:rsidP="00B36F3F">
      <w:pPr>
        <w:widowControl w:val="0"/>
        <w:numPr>
          <w:ilvl w:val="0"/>
          <w:numId w:val="1"/>
        </w:numPr>
        <w:tabs>
          <w:tab w:val="left" w:pos="263"/>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w:t>
      </w:r>
      <w:r w:rsidR="00C101E3">
        <w:rPr>
          <w:rFonts w:ascii="Arial Narrow" w:hAnsi="Arial Narrow" w:cs="Arial"/>
          <w:iCs/>
          <w:lang w:eastAsia="ar-SA"/>
        </w:rPr>
        <w:t xml:space="preserve"> </w:t>
      </w:r>
      <w:r w:rsidRPr="00D43B52">
        <w:rPr>
          <w:rFonts w:ascii="Arial Narrow" w:hAnsi="Arial Narrow" w:cs="Arial"/>
          <w:iCs/>
          <w:lang w:eastAsia="ar-SA"/>
        </w:rPr>
        <w:t>Tossicodipendenza e rapporto di lavoro, in Mass. giur. lav.,  2000, n. 11, 1203 ss.</w:t>
      </w:r>
    </w:p>
    <w:p w:rsidR="00B36F3F" w:rsidRPr="00D43B52" w:rsidRDefault="00B36F3F" w:rsidP="00B36F3F">
      <w:pPr>
        <w:tabs>
          <w:tab w:val="left" w:pos="567"/>
          <w:tab w:val="left" w:pos="851"/>
          <w:tab w:val="left" w:pos="927"/>
        </w:tabs>
        <w:suppressAutoHyphens/>
        <w:jc w:val="both"/>
        <w:rPr>
          <w:rFonts w:ascii="Arial Narrow" w:hAnsi="Arial Narrow" w:cs="Arial"/>
          <w:iCs/>
          <w:lang w:eastAsia="ar-SA"/>
        </w:rPr>
      </w:pPr>
    </w:p>
    <w:p w:rsidR="00B36F3F" w:rsidRDefault="00B36F3F" w:rsidP="00B36F3F">
      <w:pPr>
        <w:widowControl w:val="0"/>
        <w:numPr>
          <w:ilvl w:val="0"/>
          <w:numId w:val="1"/>
        </w:numPr>
        <w:tabs>
          <w:tab w:val="left" w:pos="263"/>
          <w:tab w:val="left" w:pos="567"/>
          <w:tab w:val="left" w:pos="851"/>
        </w:tabs>
        <w:suppressAutoHyphens/>
        <w:jc w:val="both"/>
        <w:rPr>
          <w:rFonts w:ascii="Arial Narrow" w:hAnsi="Arial Narrow" w:cs="Arial"/>
          <w:iCs/>
          <w:lang w:eastAsia="ar-SA"/>
        </w:rPr>
      </w:pPr>
      <w:r w:rsidRPr="00D43B52">
        <w:rPr>
          <w:rFonts w:ascii="Arial Narrow" w:hAnsi="Arial Narrow" w:cs="Arial"/>
          <w:iCs/>
          <w:lang w:eastAsia="ar-SA"/>
        </w:rPr>
        <w:t xml:space="preserve"> </w:t>
      </w:r>
      <w:r w:rsidR="00C101E3">
        <w:rPr>
          <w:rFonts w:ascii="Arial Narrow" w:hAnsi="Arial Narrow" w:cs="Arial"/>
          <w:iCs/>
          <w:lang w:eastAsia="ar-SA"/>
        </w:rPr>
        <w:t xml:space="preserve"> </w:t>
      </w:r>
      <w:r w:rsidRPr="00D43B52">
        <w:rPr>
          <w:rFonts w:ascii="Arial Narrow" w:hAnsi="Arial Narrow" w:cs="Arial"/>
          <w:iCs/>
          <w:lang w:eastAsia="ar-SA"/>
        </w:rPr>
        <w:t xml:space="preserve">Disabilità e lavoro: legislazioni a confronto, in Dir. </w:t>
      </w:r>
      <w:proofErr w:type="spellStart"/>
      <w:r w:rsidRPr="00D43B52">
        <w:rPr>
          <w:rFonts w:ascii="Arial Narrow" w:hAnsi="Arial Narrow" w:cs="Arial"/>
          <w:iCs/>
          <w:lang w:eastAsia="ar-SA"/>
        </w:rPr>
        <w:t>rel</w:t>
      </w:r>
      <w:proofErr w:type="spellEnd"/>
      <w:r w:rsidRPr="00D43B52">
        <w:rPr>
          <w:rFonts w:ascii="Arial Narrow" w:hAnsi="Arial Narrow" w:cs="Arial"/>
          <w:iCs/>
          <w:lang w:eastAsia="ar-SA"/>
        </w:rPr>
        <w:t xml:space="preserve">. </w:t>
      </w:r>
      <w:proofErr w:type="spellStart"/>
      <w:proofErr w:type="gramStart"/>
      <w:r w:rsidRPr="00D43B52">
        <w:rPr>
          <w:rFonts w:ascii="Arial Narrow" w:hAnsi="Arial Narrow" w:cs="Arial"/>
          <w:iCs/>
          <w:lang w:eastAsia="ar-SA"/>
        </w:rPr>
        <w:t>ind</w:t>
      </w:r>
      <w:proofErr w:type="spellEnd"/>
      <w:r w:rsidRPr="00D43B52">
        <w:rPr>
          <w:rFonts w:ascii="Arial Narrow" w:hAnsi="Arial Narrow" w:cs="Arial"/>
          <w:iCs/>
          <w:lang w:eastAsia="ar-SA"/>
        </w:rPr>
        <w:t>.,</w:t>
      </w:r>
      <w:proofErr w:type="gramEnd"/>
      <w:r w:rsidRPr="00D43B52">
        <w:rPr>
          <w:rFonts w:ascii="Arial Narrow" w:hAnsi="Arial Narrow" w:cs="Arial"/>
          <w:iCs/>
          <w:lang w:eastAsia="ar-SA"/>
        </w:rPr>
        <w:t xml:space="preserve"> 2000, n. 1.</w:t>
      </w:r>
    </w:p>
    <w:p w:rsidR="00C101E3" w:rsidRDefault="00C101E3" w:rsidP="00C101E3">
      <w:pPr>
        <w:pStyle w:val="Paragrafoelenco"/>
        <w:rPr>
          <w:rFonts w:ascii="Arial Narrow" w:hAnsi="Arial Narrow" w:cs="Arial"/>
          <w:iCs/>
          <w:lang w:eastAsia="ar-SA"/>
        </w:rPr>
      </w:pPr>
    </w:p>
    <w:p w:rsidR="00C101E3" w:rsidRDefault="00C101E3" w:rsidP="00C101E3">
      <w:pPr>
        <w:widowControl w:val="0"/>
        <w:numPr>
          <w:ilvl w:val="0"/>
          <w:numId w:val="1"/>
        </w:numPr>
        <w:tabs>
          <w:tab w:val="left" w:pos="263"/>
          <w:tab w:val="left" w:pos="567"/>
          <w:tab w:val="left" w:pos="851"/>
        </w:tabs>
        <w:suppressAutoHyphens/>
        <w:jc w:val="both"/>
        <w:rPr>
          <w:rFonts w:ascii="Arial Narrow" w:hAnsi="Arial Narrow" w:cs="Arial"/>
          <w:iCs/>
          <w:lang w:eastAsia="ar-SA"/>
        </w:rPr>
      </w:pPr>
      <w:r>
        <w:rPr>
          <w:rFonts w:ascii="Arial Narrow" w:hAnsi="Arial Narrow" w:cs="Arial"/>
          <w:iCs/>
          <w:lang w:eastAsia="ar-SA"/>
        </w:rPr>
        <w:t xml:space="preserve">   </w:t>
      </w:r>
      <w:r w:rsidR="00B36F3F" w:rsidRPr="00C101E3">
        <w:rPr>
          <w:rFonts w:ascii="Arial Narrow" w:hAnsi="Arial Narrow" w:cs="Arial"/>
          <w:bCs/>
          <w:lang w:eastAsia="ar-SA"/>
        </w:rPr>
        <w:t xml:space="preserve">Estinzione del contratto a progetto e preavviso” e “Il regime sanzionatorio”, in Compendio critico per la certificazione dei contratti di lavoro, C. ENRICO – M. TIRABOSCHI (a cura di), </w:t>
      </w:r>
      <w:proofErr w:type="spellStart"/>
      <w:r w:rsidR="00B36F3F" w:rsidRPr="00C101E3">
        <w:rPr>
          <w:rFonts w:ascii="Arial Narrow" w:hAnsi="Arial Narrow" w:cs="Arial"/>
          <w:bCs/>
          <w:lang w:eastAsia="ar-SA"/>
        </w:rPr>
        <w:t>Giuffrè</w:t>
      </w:r>
      <w:proofErr w:type="spellEnd"/>
      <w:r w:rsidR="00B36F3F" w:rsidRPr="00C101E3">
        <w:rPr>
          <w:rFonts w:ascii="Arial Narrow" w:hAnsi="Arial Narrow" w:cs="Arial"/>
          <w:bCs/>
          <w:lang w:eastAsia="ar-SA"/>
        </w:rPr>
        <w:t xml:space="preserve"> </w:t>
      </w:r>
      <w:proofErr w:type="gramStart"/>
      <w:r w:rsidR="00B36F3F" w:rsidRPr="00C101E3">
        <w:rPr>
          <w:rFonts w:ascii="Arial Narrow" w:hAnsi="Arial Narrow" w:cs="Arial"/>
          <w:bCs/>
          <w:lang w:eastAsia="ar-SA"/>
        </w:rPr>
        <w:t>ed.,</w:t>
      </w:r>
      <w:proofErr w:type="gramEnd"/>
      <w:r w:rsidR="00B36F3F" w:rsidRPr="00C101E3">
        <w:rPr>
          <w:rFonts w:ascii="Arial Narrow" w:hAnsi="Arial Narrow" w:cs="Arial"/>
          <w:bCs/>
          <w:lang w:eastAsia="ar-SA"/>
        </w:rPr>
        <w:t xml:space="preserve"> 2005, parte II, sez. B, par. 10 e 11.</w:t>
      </w:r>
    </w:p>
    <w:p w:rsidR="00C101E3" w:rsidRDefault="00C101E3" w:rsidP="00C101E3">
      <w:pPr>
        <w:pStyle w:val="Paragrafoelenco"/>
        <w:rPr>
          <w:rFonts w:ascii="Arial Narrow" w:hAnsi="Arial Narrow" w:cs="Arial"/>
          <w:bCs/>
          <w:lang w:eastAsia="ar-SA"/>
        </w:rPr>
      </w:pPr>
    </w:p>
    <w:p w:rsidR="00B36F3F" w:rsidRPr="00C101E3" w:rsidRDefault="00C101E3" w:rsidP="00C101E3">
      <w:pPr>
        <w:widowControl w:val="0"/>
        <w:numPr>
          <w:ilvl w:val="0"/>
          <w:numId w:val="1"/>
        </w:numPr>
        <w:tabs>
          <w:tab w:val="left" w:pos="263"/>
          <w:tab w:val="left" w:pos="567"/>
          <w:tab w:val="left" w:pos="851"/>
        </w:tabs>
        <w:suppressAutoHyphens/>
        <w:jc w:val="both"/>
        <w:rPr>
          <w:rFonts w:ascii="Arial Narrow" w:hAnsi="Arial Narrow" w:cs="Arial"/>
          <w:iCs/>
          <w:lang w:eastAsia="ar-SA"/>
        </w:rPr>
      </w:pPr>
      <w:r>
        <w:rPr>
          <w:rFonts w:ascii="Arial Narrow" w:hAnsi="Arial Narrow" w:cs="Arial"/>
          <w:bCs/>
          <w:lang w:eastAsia="ar-SA"/>
        </w:rPr>
        <w:t xml:space="preserve">   </w:t>
      </w:r>
      <w:r w:rsidR="00B36F3F" w:rsidRPr="00C101E3">
        <w:rPr>
          <w:rFonts w:ascii="Arial Narrow" w:hAnsi="Arial Narrow" w:cs="Arial"/>
          <w:bCs/>
          <w:lang w:eastAsia="ar-SA"/>
        </w:rPr>
        <w:t xml:space="preserve">La violazione dell’obbligo di fedeltà e occultamento di situazioni di conflitto di interessi (nota a </w:t>
      </w:r>
      <w:proofErr w:type="spellStart"/>
      <w:r w:rsidR="00B36F3F" w:rsidRPr="00C101E3">
        <w:rPr>
          <w:rFonts w:ascii="Arial Narrow" w:hAnsi="Arial Narrow" w:cs="Arial"/>
          <w:bCs/>
          <w:lang w:eastAsia="ar-SA"/>
        </w:rPr>
        <w:t>Cass</w:t>
      </w:r>
      <w:proofErr w:type="spellEnd"/>
      <w:r w:rsidR="00B36F3F" w:rsidRPr="00C101E3">
        <w:rPr>
          <w:rFonts w:ascii="Arial Narrow" w:hAnsi="Arial Narrow" w:cs="Arial"/>
          <w:bCs/>
          <w:lang w:eastAsia="ar-SA"/>
        </w:rPr>
        <w:t xml:space="preserve">. 4 aprile 2005, 6957), in </w:t>
      </w:r>
      <w:proofErr w:type="spellStart"/>
      <w:r w:rsidR="00B36F3F" w:rsidRPr="00C101E3">
        <w:rPr>
          <w:rFonts w:ascii="Arial Narrow" w:hAnsi="Arial Narrow" w:cs="Arial"/>
          <w:bCs/>
          <w:lang w:eastAsia="ar-SA"/>
        </w:rPr>
        <w:t>Mass.giur</w:t>
      </w:r>
      <w:proofErr w:type="spellEnd"/>
      <w:r w:rsidR="00B36F3F" w:rsidRPr="00C101E3">
        <w:rPr>
          <w:rFonts w:ascii="Arial Narrow" w:hAnsi="Arial Narrow" w:cs="Arial"/>
          <w:bCs/>
          <w:lang w:eastAsia="ar-SA"/>
        </w:rPr>
        <w:t>. lav., 2005, n. 7, 553.</w:t>
      </w:r>
    </w:p>
    <w:p w:rsidR="00C101E3" w:rsidRDefault="00C101E3" w:rsidP="00C101E3">
      <w:pPr>
        <w:pStyle w:val="Paragrafoelenco"/>
        <w:rPr>
          <w:rFonts w:ascii="Arial Narrow" w:hAnsi="Arial Narrow" w:cs="Arial"/>
          <w:iCs/>
          <w:lang w:eastAsia="ar-SA"/>
        </w:rPr>
      </w:pPr>
    </w:p>
    <w:p w:rsidR="00B36F3F" w:rsidRPr="00C101E3" w:rsidRDefault="00C101E3" w:rsidP="00C101E3">
      <w:pPr>
        <w:widowControl w:val="0"/>
        <w:numPr>
          <w:ilvl w:val="0"/>
          <w:numId w:val="1"/>
        </w:numPr>
        <w:tabs>
          <w:tab w:val="left" w:pos="263"/>
          <w:tab w:val="left" w:pos="567"/>
          <w:tab w:val="left" w:pos="851"/>
        </w:tabs>
        <w:suppressAutoHyphens/>
        <w:jc w:val="both"/>
        <w:rPr>
          <w:rFonts w:ascii="Arial Narrow" w:hAnsi="Arial Narrow" w:cs="Arial"/>
          <w:iCs/>
          <w:lang w:eastAsia="ar-SA"/>
        </w:rPr>
      </w:pPr>
      <w:r>
        <w:rPr>
          <w:rFonts w:ascii="Arial Narrow" w:hAnsi="Arial Narrow" w:cs="Arial"/>
          <w:iCs/>
          <w:lang w:eastAsia="ar-SA"/>
        </w:rPr>
        <w:t xml:space="preserve">   </w:t>
      </w:r>
      <w:r w:rsidR="00B36F3F" w:rsidRPr="00C101E3">
        <w:rPr>
          <w:rFonts w:ascii="Arial Narrow" w:hAnsi="Arial Narrow" w:cs="Arial"/>
          <w:bCs/>
          <w:lang w:eastAsia="ar-SA"/>
        </w:rPr>
        <w:t xml:space="preserve">Periodo di comporto e scaglionamento secondo l’anzianità di servizio al momento del licenziamento (nota </w:t>
      </w:r>
      <w:proofErr w:type="gramStart"/>
      <w:r w:rsidR="00B36F3F" w:rsidRPr="00C101E3">
        <w:rPr>
          <w:rFonts w:ascii="Arial Narrow" w:hAnsi="Arial Narrow" w:cs="Arial"/>
          <w:bCs/>
          <w:lang w:eastAsia="ar-SA"/>
        </w:rPr>
        <w:t xml:space="preserve">a  </w:t>
      </w:r>
      <w:proofErr w:type="spellStart"/>
      <w:r w:rsidR="00B36F3F" w:rsidRPr="00C101E3">
        <w:rPr>
          <w:rFonts w:ascii="Arial Narrow" w:hAnsi="Arial Narrow" w:cs="Arial"/>
          <w:bCs/>
          <w:lang w:eastAsia="ar-SA"/>
        </w:rPr>
        <w:t>Cass</w:t>
      </w:r>
      <w:proofErr w:type="spellEnd"/>
      <w:proofErr w:type="gramEnd"/>
      <w:r w:rsidR="00B36F3F" w:rsidRPr="00C101E3">
        <w:rPr>
          <w:rFonts w:ascii="Arial Narrow" w:hAnsi="Arial Narrow" w:cs="Arial"/>
          <w:bCs/>
          <w:lang w:eastAsia="ar-SA"/>
        </w:rPr>
        <w:t>. 24 agosto 2004, n. 16696), in Mass. giur, lav., 2004, n. 12, 919 ss.</w:t>
      </w:r>
    </w:p>
    <w:p w:rsidR="00C101E3" w:rsidRDefault="00C101E3" w:rsidP="00C101E3">
      <w:pPr>
        <w:pStyle w:val="Paragrafoelenco"/>
        <w:rPr>
          <w:rFonts w:ascii="Arial Narrow" w:hAnsi="Arial Narrow" w:cs="Arial"/>
          <w:iCs/>
          <w:lang w:eastAsia="ar-SA"/>
        </w:rPr>
      </w:pPr>
    </w:p>
    <w:p w:rsidR="00B36F3F" w:rsidRPr="00C101E3" w:rsidRDefault="00C101E3" w:rsidP="00C101E3">
      <w:pPr>
        <w:widowControl w:val="0"/>
        <w:numPr>
          <w:ilvl w:val="0"/>
          <w:numId w:val="1"/>
        </w:numPr>
        <w:tabs>
          <w:tab w:val="left" w:pos="263"/>
          <w:tab w:val="left" w:pos="567"/>
          <w:tab w:val="left" w:pos="851"/>
        </w:tabs>
        <w:suppressAutoHyphens/>
        <w:jc w:val="both"/>
        <w:rPr>
          <w:rFonts w:ascii="Arial Narrow" w:hAnsi="Arial Narrow" w:cs="Arial"/>
          <w:iCs/>
          <w:lang w:eastAsia="ar-SA"/>
        </w:rPr>
      </w:pPr>
      <w:r>
        <w:rPr>
          <w:rFonts w:ascii="Arial Narrow" w:hAnsi="Arial Narrow" w:cs="Arial"/>
          <w:iCs/>
          <w:lang w:eastAsia="ar-SA"/>
        </w:rPr>
        <w:t xml:space="preserve">   </w:t>
      </w:r>
      <w:r w:rsidR="00B36F3F" w:rsidRPr="00C101E3">
        <w:rPr>
          <w:rFonts w:ascii="Arial Narrow" w:hAnsi="Arial Narrow" w:cs="Arial"/>
          <w:bCs/>
          <w:lang w:eastAsia="ar-SA"/>
        </w:rPr>
        <w:t xml:space="preserve">Nuove sentenze sull’efficacia del preavviso (nota </w:t>
      </w:r>
      <w:proofErr w:type="gramStart"/>
      <w:r w:rsidR="00B36F3F" w:rsidRPr="00C101E3">
        <w:rPr>
          <w:rFonts w:ascii="Arial Narrow" w:hAnsi="Arial Narrow" w:cs="Arial"/>
          <w:bCs/>
          <w:lang w:eastAsia="ar-SA"/>
        </w:rPr>
        <w:t xml:space="preserve">a  </w:t>
      </w:r>
      <w:proofErr w:type="spellStart"/>
      <w:r w:rsidR="00B36F3F" w:rsidRPr="00C101E3">
        <w:rPr>
          <w:rFonts w:ascii="Arial Narrow" w:hAnsi="Arial Narrow" w:cs="Arial"/>
          <w:bCs/>
          <w:lang w:eastAsia="ar-SA"/>
        </w:rPr>
        <w:t>Cass</w:t>
      </w:r>
      <w:proofErr w:type="spellEnd"/>
      <w:proofErr w:type="gramEnd"/>
      <w:r w:rsidR="00B36F3F" w:rsidRPr="00C101E3">
        <w:rPr>
          <w:rFonts w:ascii="Arial Narrow" w:hAnsi="Arial Narrow" w:cs="Arial"/>
          <w:bCs/>
          <w:lang w:eastAsia="ar-SA"/>
        </w:rPr>
        <w:t xml:space="preserve">. 19 gennaio 2004, n. 741 e </w:t>
      </w:r>
      <w:proofErr w:type="spellStart"/>
      <w:r w:rsidR="00B36F3F" w:rsidRPr="00C101E3">
        <w:rPr>
          <w:rFonts w:ascii="Arial Narrow" w:hAnsi="Arial Narrow" w:cs="Arial"/>
          <w:bCs/>
          <w:lang w:eastAsia="ar-SA"/>
        </w:rPr>
        <w:t>Cass</w:t>
      </w:r>
      <w:proofErr w:type="spellEnd"/>
      <w:r w:rsidR="00B36F3F" w:rsidRPr="00C101E3">
        <w:rPr>
          <w:rFonts w:ascii="Arial Narrow" w:hAnsi="Arial Narrow" w:cs="Arial"/>
          <w:bCs/>
          <w:lang w:eastAsia="ar-SA"/>
        </w:rPr>
        <w:t xml:space="preserve">. 8 febbraio 2004, n. 2318), in Mass. giur. </w:t>
      </w:r>
      <w:r w:rsidR="00B36F3F" w:rsidRPr="00C101E3">
        <w:rPr>
          <w:rFonts w:ascii="Arial Narrow" w:hAnsi="Arial Narrow" w:cs="Arial"/>
          <w:bCs/>
          <w:lang w:val="en-GB" w:eastAsia="ar-SA"/>
        </w:rPr>
        <w:t>Lav., 2004, n. 8-9, 605 ss.</w:t>
      </w:r>
    </w:p>
    <w:p w:rsidR="00C101E3" w:rsidRDefault="00C101E3" w:rsidP="00C101E3">
      <w:pPr>
        <w:pStyle w:val="Paragrafoelenco"/>
        <w:rPr>
          <w:rFonts w:ascii="Arial Narrow" w:hAnsi="Arial Narrow" w:cs="Arial"/>
          <w:iCs/>
          <w:lang w:eastAsia="ar-SA"/>
        </w:rPr>
      </w:pPr>
    </w:p>
    <w:p w:rsidR="00C101E3" w:rsidRDefault="00C101E3" w:rsidP="00C101E3">
      <w:pPr>
        <w:widowControl w:val="0"/>
        <w:numPr>
          <w:ilvl w:val="0"/>
          <w:numId w:val="1"/>
        </w:numPr>
        <w:tabs>
          <w:tab w:val="left" w:pos="263"/>
          <w:tab w:val="left" w:pos="567"/>
          <w:tab w:val="left" w:pos="851"/>
        </w:tabs>
        <w:suppressAutoHyphens/>
        <w:jc w:val="both"/>
        <w:rPr>
          <w:rFonts w:ascii="Arial Narrow" w:hAnsi="Arial Narrow" w:cs="Arial"/>
          <w:iCs/>
          <w:lang w:eastAsia="ar-SA"/>
        </w:rPr>
      </w:pPr>
      <w:r>
        <w:rPr>
          <w:rFonts w:ascii="Arial Narrow" w:hAnsi="Arial Narrow" w:cs="Arial"/>
          <w:iCs/>
          <w:lang w:eastAsia="ar-SA"/>
        </w:rPr>
        <w:t xml:space="preserve">   </w:t>
      </w:r>
      <w:r w:rsidR="00B36F3F" w:rsidRPr="00C101E3">
        <w:rPr>
          <w:rFonts w:ascii="Arial Narrow" w:hAnsi="Arial Narrow" w:cs="Arial"/>
          <w:bCs/>
          <w:lang w:eastAsia="ar-SA"/>
        </w:rPr>
        <w:t xml:space="preserve">Salute e sicurezza dei lavoratori sui luoghi di lavoro, in Percorsi giurisprudenziali nel diritto del lavoro, (a cura di) E. Minale Costa, </w:t>
      </w:r>
      <w:proofErr w:type="spellStart"/>
      <w:r w:rsidR="00B36F3F" w:rsidRPr="00C101E3">
        <w:rPr>
          <w:rFonts w:ascii="Arial Narrow" w:hAnsi="Arial Narrow" w:cs="Arial"/>
          <w:bCs/>
          <w:lang w:eastAsia="ar-SA"/>
        </w:rPr>
        <w:t>Giappichelli</w:t>
      </w:r>
      <w:proofErr w:type="spellEnd"/>
      <w:r w:rsidR="00B36F3F" w:rsidRPr="00C101E3">
        <w:rPr>
          <w:rFonts w:ascii="Arial Narrow" w:hAnsi="Arial Narrow" w:cs="Arial"/>
          <w:bCs/>
          <w:lang w:eastAsia="ar-SA"/>
        </w:rPr>
        <w:t xml:space="preserve">, 2 ed. </w:t>
      </w:r>
      <w:proofErr w:type="gramStart"/>
      <w:r w:rsidR="00B36F3F" w:rsidRPr="00C101E3">
        <w:rPr>
          <w:rFonts w:ascii="Arial Narrow" w:hAnsi="Arial Narrow" w:cs="Arial"/>
          <w:bCs/>
          <w:lang w:eastAsia="ar-SA"/>
        </w:rPr>
        <w:t>integralmente</w:t>
      </w:r>
      <w:proofErr w:type="gramEnd"/>
      <w:r w:rsidR="00B36F3F" w:rsidRPr="00C101E3">
        <w:rPr>
          <w:rFonts w:ascii="Arial Narrow" w:hAnsi="Arial Narrow" w:cs="Arial"/>
          <w:bCs/>
          <w:lang w:eastAsia="ar-SA"/>
        </w:rPr>
        <w:t xml:space="preserve"> rifatta,  2004.</w:t>
      </w:r>
    </w:p>
    <w:p w:rsidR="00C101E3" w:rsidRDefault="00C101E3" w:rsidP="00C101E3">
      <w:pPr>
        <w:pStyle w:val="Paragrafoelenco"/>
        <w:rPr>
          <w:rFonts w:ascii="Arial Narrow" w:hAnsi="Arial Narrow" w:cs="Arial"/>
          <w:bCs/>
          <w:lang w:eastAsia="ar-SA"/>
        </w:rPr>
      </w:pPr>
    </w:p>
    <w:p w:rsidR="00B36F3F" w:rsidRPr="00C101E3" w:rsidRDefault="00C101E3" w:rsidP="00C101E3">
      <w:pPr>
        <w:widowControl w:val="0"/>
        <w:numPr>
          <w:ilvl w:val="0"/>
          <w:numId w:val="1"/>
        </w:numPr>
        <w:tabs>
          <w:tab w:val="left" w:pos="263"/>
          <w:tab w:val="left" w:pos="567"/>
          <w:tab w:val="left" w:pos="851"/>
        </w:tabs>
        <w:suppressAutoHyphens/>
        <w:jc w:val="both"/>
        <w:rPr>
          <w:rFonts w:ascii="Arial Narrow" w:hAnsi="Arial Narrow" w:cs="Arial"/>
          <w:iCs/>
          <w:lang w:eastAsia="ar-SA"/>
        </w:rPr>
      </w:pPr>
      <w:r>
        <w:rPr>
          <w:rFonts w:ascii="Arial Narrow" w:hAnsi="Arial Narrow" w:cs="Arial"/>
          <w:iCs/>
          <w:lang w:eastAsia="ar-SA"/>
        </w:rPr>
        <w:t xml:space="preserve">   </w:t>
      </w:r>
      <w:r w:rsidR="00B36F3F" w:rsidRPr="00C101E3">
        <w:rPr>
          <w:rFonts w:ascii="Arial Narrow" w:hAnsi="Arial Narrow" w:cs="Arial"/>
          <w:bCs/>
          <w:lang w:eastAsia="ar-SA"/>
        </w:rPr>
        <w:t xml:space="preserve">Efficacia dell’accordo aziendale che legittima la deroga in </w:t>
      </w:r>
      <w:proofErr w:type="spellStart"/>
      <w:r w:rsidR="00B36F3F" w:rsidRPr="00C101E3">
        <w:rPr>
          <w:rFonts w:ascii="Arial Narrow" w:hAnsi="Arial Narrow" w:cs="Arial"/>
          <w:bCs/>
          <w:lang w:eastAsia="ar-SA"/>
        </w:rPr>
        <w:t>peius</w:t>
      </w:r>
      <w:proofErr w:type="spellEnd"/>
      <w:r w:rsidR="00B36F3F" w:rsidRPr="00C101E3">
        <w:rPr>
          <w:rFonts w:ascii="Arial Narrow" w:hAnsi="Arial Narrow" w:cs="Arial"/>
          <w:bCs/>
          <w:lang w:eastAsia="ar-SA"/>
        </w:rPr>
        <w:t xml:space="preserve"> del contratto di lavoro part-</w:t>
      </w:r>
      <w:proofErr w:type="gramStart"/>
      <w:r w:rsidR="00B36F3F" w:rsidRPr="00C101E3">
        <w:rPr>
          <w:rFonts w:ascii="Arial Narrow" w:hAnsi="Arial Narrow" w:cs="Arial"/>
          <w:bCs/>
          <w:lang w:eastAsia="ar-SA"/>
        </w:rPr>
        <w:t>time.,</w:t>
      </w:r>
      <w:proofErr w:type="gramEnd"/>
      <w:r w:rsidR="00B36F3F" w:rsidRPr="00C101E3">
        <w:rPr>
          <w:rFonts w:ascii="Arial Narrow" w:hAnsi="Arial Narrow" w:cs="Arial"/>
          <w:bCs/>
          <w:lang w:eastAsia="ar-SA"/>
        </w:rPr>
        <w:t xml:space="preserve"> in Mass. giur. lav., 2003, n. 8-9, 595.</w:t>
      </w:r>
    </w:p>
    <w:p w:rsidR="00C101E3" w:rsidRDefault="00C101E3" w:rsidP="00C101E3">
      <w:pPr>
        <w:pStyle w:val="Paragrafoelenco"/>
        <w:rPr>
          <w:rFonts w:ascii="Arial Narrow" w:hAnsi="Arial Narrow" w:cs="Arial"/>
          <w:iCs/>
          <w:lang w:eastAsia="ar-SA"/>
        </w:rPr>
      </w:pPr>
    </w:p>
    <w:p w:rsidR="00C101E3" w:rsidRDefault="00C101E3" w:rsidP="00C101E3">
      <w:pPr>
        <w:widowControl w:val="0"/>
        <w:numPr>
          <w:ilvl w:val="0"/>
          <w:numId w:val="1"/>
        </w:numPr>
        <w:tabs>
          <w:tab w:val="left" w:pos="275"/>
          <w:tab w:val="left" w:pos="567"/>
          <w:tab w:val="left" w:pos="851"/>
        </w:tabs>
        <w:suppressAutoHyphens/>
        <w:jc w:val="both"/>
        <w:rPr>
          <w:rFonts w:ascii="Arial Narrow" w:hAnsi="Arial Narrow" w:cs="Arial"/>
          <w:iCs/>
          <w:lang w:eastAsia="ar-SA"/>
        </w:rPr>
      </w:pPr>
      <w:r>
        <w:rPr>
          <w:rFonts w:ascii="Arial Narrow" w:hAnsi="Arial Narrow" w:cs="Arial"/>
          <w:iCs/>
          <w:lang w:eastAsia="ar-SA"/>
        </w:rPr>
        <w:t xml:space="preserve">   </w:t>
      </w:r>
      <w:r w:rsidR="00B36F3F" w:rsidRPr="00C101E3">
        <w:rPr>
          <w:rFonts w:ascii="Arial Narrow" w:hAnsi="Arial Narrow" w:cs="Arial"/>
          <w:bCs/>
          <w:lang w:eastAsia="ar-SA"/>
        </w:rPr>
        <w:t xml:space="preserve">La subordinazione, (limitatamente a </w:t>
      </w:r>
      <w:proofErr w:type="spellStart"/>
      <w:r w:rsidR="00B36F3F" w:rsidRPr="00C101E3">
        <w:rPr>
          <w:rFonts w:ascii="Arial Narrow" w:hAnsi="Arial Narrow" w:cs="Arial"/>
          <w:bCs/>
          <w:lang w:eastAsia="ar-SA"/>
        </w:rPr>
        <w:t>parag</w:t>
      </w:r>
      <w:proofErr w:type="spellEnd"/>
      <w:r w:rsidR="00B36F3F" w:rsidRPr="00C101E3">
        <w:rPr>
          <w:rFonts w:ascii="Arial Narrow" w:hAnsi="Arial Narrow" w:cs="Arial"/>
          <w:bCs/>
          <w:lang w:eastAsia="ar-SA"/>
        </w:rPr>
        <w:t xml:space="preserve">. </w:t>
      </w:r>
      <w:proofErr w:type="gramStart"/>
      <w:r w:rsidR="00B36F3F" w:rsidRPr="00C101E3">
        <w:rPr>
          <w:rFonts w:ascii="Arial Narrow" w:hAnsi="Arial Narrow" w:cs="Arial"/>
          <w:bCs/>
          <w:lang w:eastAsia="ar-SA"/>
        </w:rPr>
        <w:t>da</w:t>
      </w:r>
      <w:proofErr w:type="gramEnd"/>
      <w:r w:rsidR="00B36F3F" w:rsidRPr="00C101E3">
        <w:rPr>
          <w:rFonts w:ascii="Arial Narrow" w:hAnsi="Arial Narrow" w:cs="Arial"/>
          <w:bCs/>
          <w:lang w:eastAsia="ar-SA"/>
        </w:rPr>
        <w:t xml:space="preserve"> 2 a 5), in Percorsi giurisprudenziali nel diritto del lavoro, (a cura di) E. Minale Costa, </w:t>
      </w:r>
      <w:proofErr w:type="spellStart"/>
      <w:r w:rsidR="00B36F3F" w:rsidRPr="00C101E3">
        <w:rPr>
          <w:rFonts w:ascii="Arial Narrow" w:hAnsi="Arial Narrow" w:cs="Arial"/>
          <w:bCs/>
          <w:lang w:eastAsia="ar-SA"/>
        </w:rPr>
        <w:t>Giappichelli</w:t>
      </w:r>
      <w:proofErr w:type="spellEnd"/>
      <w:r w:rsidR="00B36F3F" w:rsidRPr="00C101E3">
        <w:rPr>
          <w:rFonts w:ascii="Arial Narrow" w:hAnsi="Arial Narrow" w:cs="Arial"/>
          <w:bCs/>
          <w:lang w:eastAsia="ar-SA"/>
        </w:rPr>
        <w:t>, 2002, p. 61 ss.</w:t>
      </w:r>
    </w:p>
    <w:p w:rsidR="00C101E3" w:rsidRDefault="00C101E3" w:rsidP="00C101E3">
      <w:pPr>
        <w:pStyle w:val="Paragrafoelenco"/>
        <w:rPr>
          <w:rFonts w:ascii="Arial Narrow" w:hAnsi="Arial Narrow" w:cs="Arial"/>
          <w:bCs/>
          <w:lang w:eastAsia="ar-SA"/>
        </w:rPr>
      </w:pPr>
    </w:p>
    <w:p w:rsidR="00C101E3" w:rsidRDefault="00C101E3" w:rsidP="00C101E3">
      <w:pPr>
        <w:widowControl w:val="0"/>
        <w:numPr>
          <w:ilvl w:val="0"/>
          <w:numId w:val="1"/>
        </w:numPr>
        <w:tabs>
          <w:tab w:val="left" w:pos="288"/>
          <w:tab w:val="left" w:pos="567"/>
          <w:tab w:val="left" w:pos="851"/>
        </w:tabs>
        <w:suppressAutoHyphens/>
        <w:jc w:val="both"/>
        <w:rPr>
          <w:rFonts w:ascii="Arial Narrow" w:hAnsi="Arial Narrow" w:cs="Arial"/>
          <w:iCs/>
          <w:lang w:eastAsia="ar-SA"/>
        </w:rPr>
      </w:pPr>
      <w:r>
        <w:rPr>
          <w:rFonts w:ascii="Arial Narrow" w:hAnsi="Arial Narrow" w:cs="Arial"/>
          <w:bCs/>
          <w:lang w:eastAsia="ar-SA"/>
        </w:rPr>
        <w:t xml:space="preserve">   </w:t>
      </w:r>
      <w:r w:rsidR="00B36F3F" w:rsidRPr="00C101E3">
        <w:rPr>
          <w:rFonts w:ascii="Arial Narrow" w:hAnsi="Arial Narrow" w:cs="Arial"/>
          <w:bCs/>
          <w:lang w:eastAsia="ar-SA"/>
        </w:rPr>
        <w:t>C.I.G.S.: orientamenti dottrinali e giurisprudenziali su criteri di scelta, rotazione e omessa comunicazione ex art. 1, comma 7, L. 223/</w:t>
      </w:r>
      <w:proofErr w:type="gramStart"/>
      <w:r w:rsidR="00B36F3F" w:rsidRPr="00C101E3">
        <w:rPr>
          <w:rFonts w:ascii="Arial Narrow" w:hAnsi="Arial Narrow" w:cs="Arial"/>
          <w:bCs/>
          <w:lang w:eastAsia="ar-SA"/>
        </w:rPr>
        <w:t>1991.,</w:t>
      </w:r>
      <w:proofErr w:type="gramEnd"/>
      <w:r w:rsidR="00B36F3F" w:rsidRPr="00C101E3">
        <w:rPr>
          <w:rFonts w:ascii="Arial Narrow" w:hAnsi="Arial Narrow" w:cs="Arial"/>
          <w:bCs/>
          <w:lang w:eastAsia="ar-SA"/>
        </w:rPr>
        <w:t xml:space="preserve"> in Mass. giur. </w:t>
      </w:r>
      <w:proofErr w:type="spellStart"/>
      <w:proofErr w:type="gramStart"/>
      <w:r w:rsidR="00B36F3F" w:rsidRPr="00C101E3">
        <w:rPr>
          <w:rFonts w:ascii="Arial Narrow" w:hAnsi="Arial Narrow" w:cs="Arial"/>
          <w:bCs/>
          <w:lang w:eastAsia="ar-SA"/>
        </w:rPr>
        <w:t>lav</w:t>
      </w:r>
      <w:proofErr w:type="spellEnd"/>
      <w:proofErr w:type="gramEnd"/>
      <w:r w:rsidR="00B36F3F" w:rsidRPr="00C101E3">
        <w:rPr>
          <w:rFonts w:ascii="Arial Narrow" w:hAnsi="Arial Narrow" w:cs="Arial"/>
          <w:bCs/>
          <w:lang w:eastAsia="ar-SA"/>
        </w:rPr>
        <w:t>, 1999, n. 1.</w:t>
      </w:r>
    </w:p>
    <w:p w:rsidR="00C101E3" w:rsidRDefault="00C101E3" w:rsidP="00C101E3">
      <w:pPr>
        <w:pStyle w:val="Paragrafoelenco"/>
        <w:rPr>
          <w:rFonts w:ascii="Arial Narrow" w:hAnsi="Arial Narrow" w:cs="Arial"/>
          <w:bCs/>
          <w:lang w:eastAsia="ar-SA"/>
        </w:rPr>
      </w:pPr>
    </w:p>
    <w:p w:rsidR="00C101E3" w:rsidRDefault="00C101E3" w:rsidP="00C101E3">
      <w:pPr>
        <w:widowControl w:val="0"/>
        <w:numPr>
          <w:ilvl w:val="0"/>
          <w:numId w:val="1"/>
        </w:numPr>
        <w:tabs>
          <w:tab w:val="left" w:pos="288"/>
          <w:tab w:val="left" w:pos="567"/>
          <w:tab w:val="left" w:pos="851"/>
        </w:tabs>
        <w:suppressAutoHyphens/>
        <w:jc w:val="both"/>
        <w:rPr>
          <w:rFonts w:ascii="Arial Narrow" w:hAnsi="Arial Narrow" w:cs="Arial"/>
          <w:iCs/>
          <w:lang w:eastAsia="ar-SA"/>
        </w:rPr>
      </w:pPr>
      <w:r>
        <w:rPr>
          <w:rFonts w:ascii="Arial Narrow" w:hAnsi="Arial Narrow" w:cs="Arial"/>
          <w:bCs/>
          <w:lang w:eastAsia="ar-SA"/>
        </w:rPr>
        <w:t xml:space="preserve">   </w:t>
      </w:r>
      <w:r w:rsidR="00B36F3F" w:rsidRPr="00C101E3">
        <w:rPr>
          <w:rFonts w:ascii="Arial Narrow" w:hAnsi="Arial Narrow" w:cs="Arial"/>
          <w:bCs/>
          <w:lang w:eastAsia="ar-SA"/>
        </w:rPr>
        <w:t xml:space="preserve">La Corte di Cassazione sancisce l’inapplicabilità dell’art. 2103 c.c. al rapporto, </w:t>
      </w:r>
      <w:proofErr w:type="gramStart"/>
      <w:r w:rsidR="00B36F3F" w:rsidRPr="00C101E3">
        <w:rPr>
          <w:rFonts w:ascii="Arial Narrow" w:hAnsi="Arial Narrow" w:cs="Arial"/>
          <w:bCs/>
          <w:lang w:eastAsia="ar-SA"/>
        </w:rPr>
        <w:t>parasubordinato,  fra</w:t>
      </w:r>
      <w:proofErr w:type="gramEnd"/>
      <w:r w:rsidR="00B36F3F" w:rsidRPr="00C101E3">
        <w:rPr>
          <w:rFonts w:ascii="Arial Narrow" w:hAnsi="Arial Narrow" w:cs="Arial"/>
          <w:bCs/>
          <w:lang w:eastAsia="ar-SA"/>
        </w:rPr>
        <w:t xml:space="preserve"> compagnia portuale e lavoratore-socio, in  Dir. </w:t>
      </w:r>
      <w:proofErr w:type="spellStart"/>
      <w:r w:rsidR="00B36F3F" w:rsidRPr="00C101E3">
        <w:rPr>
          <w:rFonts w:ascii="Arial Narrow" w:hAnsi="Arial Narrow" w:cs="Arial"/>
          <w:bCs/>
          <w:lang w:eastAsia="ar-SA"/>
        </w:rPr>
        <w:t>maritt</w:t>
      </w:r>
      <w:proofErr w:type="spellEnd"/>
      <w:r w:rsidR="00B36F3F" w:rsidRPr="00C101E3">
        <w:rPr>
          <w:rFonts w:ascii="Arial Narrow" w:hAnsi="Arial Narrow" w:cs="Arial"/>
          <w:bCs/>
          <w:lang w:eastAsia="ar-SA"/>
        </w:rPr>
        <w:t>., 1997, 769.</w:t>
      </w:r>
    </w:p>
    <w:p w:rsidR="00C101E3" w:rsidRDefault="00C101E3" w:rsidP="00C101E3">
      <w:pPr>
        <w:pStyle w:val="Paragrafoelenco"/>
        <w:rPr>
          <w:rFonts w:ascii="Arial Narrow" w:hAnsi="Arial Narrow" w:cs="Arial"/>
          <w:bCs/>
          <w:lang w:eastAsia="ar-SA"/>
        </w:rPr>
      </w:pPr>
    </w:p>
    <w:p w:rsidR="00B36F3F" w:rsidRPr="00C101E3" w:rsidRDefault="00C101E3" w:rsidP="00C101E3">
      <w:pPr>
        <w:widowControl w:val="0"/>
        <w:numPr>
          <w:ilvl w:val="0"/>
          <w:numId w:val="1"/>
        </w:numPr>
        <w:tabs>
          <w:tab w:val="left" w:pos="288"/>
          <w:tab w:val="left" w:pos="567"/>
          <w:tab w:val="left" w:pos="851"/>
        </w:tabs>
        <w:suppressAutoHyphens/>
        <w:jc w:val="both"/>
        <w:rPr>
          <w:rFonts w:ascii="Arial Narrow" w:hAnsi="Arial Narrow" w:cs="Arial"/>
          <w:iCs/>
          <w:lang w:eastAsia="ar-SA"/>
        </w:rPr>
      </w:pPr>
      <w:r>
        <w:rPr>
          <w:rFonts w:ascii="Arial Narrow" w:hAnsi="Arial Narrow" w:cs="Arial"/>
          <w:bCs/>
          <w:lang w:eastAsia="ar-SA"/>
        </w:rPr>
        <w:t xml:space="preserve">   </w:t>
      </w:r>
      <w:r w:rsidR="00B36F3F" w:rsidRPr="00C101E3">
        <w:rPr>
          <w:rFonts w:ascii="Arial Narrow" w:hAnsi="Arial Narrow" w:cs="Arial"/>
          <w:bCs/>
          <w:lang w:eastAsia="ar-SA"/>
        </w:rPr>
        <w:t xml:space="preserve">Una nota alla sentenza della Corte Costituzionale del 15 marzo 1996, n. 72: la specialità del lavoro nautico ancora una volta al vaglio della Suprema Corte, in Dir. </w:t>
      </w:r>
      <w:proofErr w:type="spellStart"/>
      <w:proofErr w:type="gramStart"/>
      <w:r w:rsidR="00B36F3F" w:rsidRPr="00C101E3">
        <w:rPr>
          <w:rFonts w:ascii="Arial Narrow" w:hAnsi="Arial Narrow" w:cs="Arial"/>
          <w:bCs/>
          <w:lang w:eastAsia="ar-SA"/>
        </w:rPr>
        <w:t>maritt</w:t>
      </w:r>
      <w:proofErr w:type="spellEnd"/>
      <w:r w:rsidR="00B36F3F" w:rsidRPr="00C101E3">
        <w:rPr>
          <w:rFonts w:ascii="Arial Narrow" w:hAnsi="Arial Narrow" w:cs="Arial"/>
          <w:bCs/>
          <w:lang w:eastAsia="ar-SA"/>
        </w:rPr>
        <w:t>.,</w:t>
      </w:r>
      <w:proofErr w:type="gramEnd"/>
      <w:r w:rsidR="00B36F3F" w:rsidRPr="00C101E3">
        <w:rPr>
          <w:rFonts w:ascii="Arial Narrow" w:hAnsi="Arial Narrow" w:cs="Arial"/>
          <w:bCs/>
          <w:lang w:eastAsia="ar-SA"/>
        </w:rPr>
        <w:t xml:space="preserve"> 1997, 402.</w:t>
      </w:r>
    </w:p>
    <w:p w:rsidR="00D71617" w:rsidRDefault="00250925"/>
    <w:sectPr w:rsidR="00D71617" w:rsidSect="00A257E0">
      <w:headerReference w:type="default" r:id="rId8"/>
      <w:footerReference w:type="default" r:id="rId9"/>
      <w:headerReference w:type="first" r:id="rId10"/>
      <w:pgSz w:w="11900" w:h="16840"/>
      <w:pgMar w:top="3261" w:right="1268" w:bottom="1701" w:left="29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925" w:rsidRDefault="00250925">
      <w:r>
        <w:separator/>
      </w:r>
    </w:p>
  </w:endnote>
  <w:endnote w:type="continuationSeparator" w:id="0">
    <w:p w:rsidR="00250925" w:rsidRDefault="0025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CD1" w:rsidRDefault="00B36F3F">
    <w:pPr>
      <w:pStyle w:val="Pidipagina"/>
    </w:pPr>
    <w:r>
      <w:rPr>
        <w:noProof/>
        <w:lang w:val="it-IT" w:eastAsia="it-IT"/>
      </w:rPr>
      <w:drawing>
        <wp:anchor distT="0" distB="0" distL="114300" distR="114300" simplePos="0" relativeHeight="251660288" behindDoc="1" locked="0" layoutInCell="1" allowOverlap="1">
          <wp:simplePos x="0" y="0"/>
          <wp:positionH relativeFrom="column">
            <wp:posOffset>-1714500</wp:posOffset>
          </wp:positionH>
          <wp:positionV relativeFrom="page">
            <wp:posOffset>9879330</wp:posOffset>
          </wp:positionV>
          <wp:extent cx="2387600" cy="589280"/>
          <wp:effectExtent l="0" t="0" r="0" b="0"/>
          <wp:wrapThrough wrapText="bothSides">
            <wp:wrapPolygon edited="0">
              <wp:start x="20681" y="0"/>
              <wp:lineTo x="8445" y="5586"/>
              <wp:lineTo x="0" y="9776"/>
              <wp:lineTo x="0" y="16759"/>
              <wp:lineTo x="172" y="19552"/>
              <wp:lineTo x="862" y="19552"/>
              <wp:lineTo x="7755" y="18155"/>
              <wp:lineTo x="16200" y="15362"/>
              <wp:lineTo x="16028" y="12569"/>
              <wp:lineTo x="21370" y="9776"/>
              <wp:lineTo x="21370" y="0"/>
              <wp:lineTo x="20681" y="0"/>
            </wp:wrapPolygon>
          </wp:wrapThrough>
          <wp:docPr id="2" name="Immagine 2" descr="scritt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itta">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589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925" w:rsidRDefault="00250925">
      <w:r>
        <w:separator/>
      </w:r>
    </w:p>
  </w:footnote>
  <w:footnote w:type="continuationSeparator" w:id="0">
    <w:p w:rsidR="00250925" w:rsidRDefault="002509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CD1" w:rsidRDefault="00B36F3F">
    <w:pPr>
      <w:pStyle w:val="Intestazione"/>
    </w:pPr>
    <w:r>
      <w:rPr>
        <w:noProof/>
        <w:lang w:val="it-IT" w:eastAsia="it-IT"/>
      </w:rPr>
      <w:drawing>
        <wp:anchor distT="0" distB="0" distL="114300" distR="114300" simplePos="0" relativeHeight="251659264" behindDoc="1" locked="0" layoutInCell="1" allowOverlap="1">
          <wp:simplePos x="0" y="0"/>
          <wp:positionH relativeFrom="column">
            <wp:posOffset>-1943100</wp:posOffset>
          </wp:positionH>
          <wp:positionV relativeFrom="paragraph">
            <wp:posOffset>-513080</wp:posOffset>
          </wp:positionV>
          <wp:extent cx="7666990" cy="10858500"/>
          <wp:effectExtent l="0" t="0" r="0" b="0"/>
          <wp:wrapNone/>
          <wp:docPr id="3" name="Immagine 3" descr="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6990"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CD1" w:rsidRDefault="00250925">
    <w:pPr>
      <w:pStyle w:val="Intestazione"/>
    </w:pPr>
  </w:p>
  <w:p w:rsidR="00823CD1" w:rsidRDefault="00250925">
    <w:pPr>
      <w:pStyle w:val="Intestazione"/>
    </w:pPr>
  </w:p>
  <w:p w:rsidR="00823CD1" w:rsidRDefault="0025092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CD1" w:rsidRDefault="00B36F3F" w:rsidP="00FD2599">
    <w:pPr>
      <w:pStyle w:val="Intestazione"/>
      <w:ind w:left="284" w:hanging="284"/>
    </w:pPr>
    <w:r>
      <w:rPr>
        <w:noProof/>
        <w:lang w:val="it-IT" w:eastAsia="it-IT"/>
      </w:rPr>
      <w:drawing>
        <wp:anchor distT="0" distB="0" distL="114300" distR="114300" simplePos="0" relativeHeight="251661312" behindDoc="1" locked="0" layoutInCell="1" allowOverlap="1">
          <wp:simplePos x="0" y="0"/>
          <wp:positionH relativeFrom="column">
            <wp:posOffset>-1943100</wp:posOffset>
          </wp:positionH>
          <wp:positionV relativeFrom="paragraph">
            <wp:posOffset>-551180</wp:posOffset>
          </wp:positionV>
          <wp:extent cx="7675245" cy="10858500"/>
          <wp:effectExtent l="0" t="0" r="1905" b="0"/>
          <wp:wrapNone/>
          <wp:docPr id="1" name="Immagine 1" descr="Daniele Alborghetti pa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ele Alborghetti pa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5245"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CD1" w:rsidRDefault="00250925">
    <w:pPr>
      <w:pStyle w:val="Intestazione"/>
    </w:pPr>
  </w:p>
  <w:p w:rsidR="00823CD1" w:rsidRDefault="00250925">
    <w:pPr>
      <w:pStyle w:val="Intestazione"/>
    </w:pPr>
  </w:p>
  <w:p w:rsidR="00823CD1" w:rsidRDefault="00250925">
    <w:pPr>
      <w:pStyle w:val="Intestazione"/>
    </w:pPr>
  </w:p>
  <w:p w:rsidR="00823CD1" w:rsidRDefault="0025092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83116747540518612791"/>
    <w:lvl w:ilvl="0">
      <w:start w:val="1"/>
      <w:numFmt w:val="bullet"/>
      <w:lvlText w:val=""/>
      <w:lvlJc w:val="left"/>
      <w:pPr>
        <w:tabs>
          <w:tab w:val="num" w:pos="720"/>
        </w:tabs>
        <w:ind w:left="720" w:hanging="360"/>
      </w:pPr>
      <w:rPr>
        <w:rFonts w:ascii="Symbol" w:hAnsi="Symbol" w:cs="Symbol"/>
        <w:sz w:val="24"/>
        <w:szCs w:val="24"/>
      </w:rPr>
    </w:lvl>
  </w:abstractNum>
  <w:abstractNum w:abstractNumId="1" w15:restartNumberingAfterBreak="0">
    <w:nsid w:val="00000008"/>
    <w:multiLevelType w:val="singleLevel"/>
    <w:tmpl w:val="00000008"/>
    <w:name w:val="20559171297361502751"/>
    <w:lvl w:ilvl="0">
      <w:start w:val="1"/>
      <w:numFmt w:val="bullet"/>
      <w:lvlText w:val=""/>
      <w:lvlJc w:val="left"/>
      <w:pPr>
        <w:tabs>
          <w:tab w:val="num" w:pos="360"/>
        </w:tabs>
        <w:ind w:left="360" w:hanging="360"/>
      </w:pPr>
      <w:rPr>
        <w:rFonts w:ascii="Symbol" w:hAnsi="Symbol" w:cs="Symbol"/>
        <w:sz w:val="24"/>
        <w:szCs w:val="24"/>
        <w:lang w:val="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A4F"/>
    <w:rsid w:val="000A52C8"/>
    <w:rsid w:val="000D4A4F"/>
    <w:rsid w:val="00250925"/>
    <w:rsid w:val="002D1280"/>
    <w:rsid w:val="003245DB"/>
    <w:rsid w:val="004A0024"/>
    <w:rsid w:val="0053742B"/>
    <w:rsid w:val="006613B8"/>
    <w:rsid w:val="006A16D2"/>
    <w:rsid w:val="00847690"/>
    <w:rsid w:val="008E26A9"/>
    <w:rsid w:val="00937D6D"/>
    <w:rsid w:val="00AC5C9E"/>
    <w:rsid w:val="00B36F3F"/>
    <w:rsid w:val="00B8110B"/>
    <w:rsid w:val="00C101E3"/>
    <w:rsid w:val="00E27AF2"/>
    <w:rsid w:val="00F37B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0B71EF-33DF-4064-B42E-F7802DD7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36F3F"/>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36F3F"/>
    <w:pPr>
      <w:tabs>
        <w:tab w:val="center" w:pos="4819"/>
        <w:tab w:val="right" w:pos="9638"/>
      </w:tabs>
    </w:pPr>
    <w:rPr>
      <w:sz w:val="20"/>
      <w:szCs w:val="20"/>
      <w:lang w:val="x-none" w:eastAsia="x-none"/>
    </w:rPr>
  </w:style>
  <w:style w:type="character" w:customStyle="1" w:styleId="IntestazioneCarattere">
    <w:name w:val="Intestazione Carattere"/>
    <w:basedOn w:val="Carpredefinitoparagrafo"/>
    <w:link w:val="Intestazione"/>
    <w:uiPriority w:val="99"/>
    <w:rsid w:val="00B36F3F"/>
    <w:rPr>
      <w:rFonts w:ascii="Times New Roman" w:eastAsia="Times New Roman" w:hAnsi="Times New Roman" w:cs="Times New Roman"/>
      <w:sz w:val="20"/>
      <w:szCs w:val="20"/>
      <w:lang w:val="x-none" w:eastAsia="x-none"/>
    </w:rPr>
  </w:style>
  <w:style w:type="paragraph" w:styleId="Pidipagina">
    <w:name w:val="footer"/>
    <w:basedOn w:val="Normale"/>
    <w:link w:val="PidipaginaCarattere"/>
    <w:uiPriority w:val="99"/>
    <w:unhideWhenUsed/>
    <w:rsid w:val="00B36F3F"/>
    <w:pPr>
      <w:tabs>
        <w:tab w:val="center" w:pos="4819"/>
        <w:tab w:val="right" w:pos="9638"/>
      </w:tabs>
    </w:pPr>
    <w:rPr>
      <w:sz w:val="20"/>
      <w:szCs w:val="20"/>
      <w:lang w:val="x-none" w:eastAsia="x-none"/>
    </w:rPr>
  </w:style>
  <w:style w:type="character" w:customStyle="1" w:styleId="PidipaginaCarattere">
    <w:name w:val="Piè di pagina Carattere"/>
    <w:basedOn w:val="Carpredefinitoparagrafo"/>
    <w:link w:val="Pidipagina"/>
    <w:uiPriority w:val="99"/>
    <w:rsid w:val="00B36F3F"/>
    <w:rPr>
      <w:rFonts w:ascii="Times New Roman" w:eastAsia="Times New Roman" w:hAnsi="Times New Roman" w:cs="Times New Roman"/>
      <w:sz w:val="20"/>
      <w:szCs w:val="20"/>
      <w:lang w:val="x-none" w:eastAsia="x-none"/>
    </w:rPr>
  </w:style>
  <w:style w:type="paragraph" w:styleId="Paragrafoelenco">
    <w:name w:val="List Paragraph"/>
    <w:basedOn w:val="Normale"/>
    <w:uiPriority w:val="34"/>
    <w:qFormat/>
    <w:rsid w:val="00C101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olympus.uniurb.it/index.php?option=com_content&amp;view=article&amp;id=7216:20012-aavv-lavoro-e-disabilita-la-sclerosi-multipla-e-le-patologie-croniche-progressive-nel-mercato-del-lavoro&amp;catid=98:opinioni-e-commenti&amp;Itemid=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moodle.adaptland.it/course/view.php?id=1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1049</Words>
  <Characters>5983</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Bruzzone</dc:creator>
  <cp:keywords/>
  <dc:description/>
  <cp:lastModifiedBy>Silvia Bruzzone</cp:lastModifiedBy>
  <cp:revision>3</cp:revision>
  <dcterms:created xsi:type="dcterms:W3CDTF">2017-03-13T10:16:00Z</dcterms:created>
  <dcterms:modified xsi:type="dcterms:W3CDTF">2017-03-13T10:19:00Z</dcterms:modified>
</cp:coreProperties>
</file>